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proofErr w:type="spellStart"/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proofErr w:type="spellEnd"/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276"/>
        <w:gridCol w:w="1096"/>
        <w:gridCol w:w="1247"/>
        <w:gridCol w:w="1276"/>
        <w:gridCol w:w="1630"/>
      </w:tblGrid>
      <w:tr w:rsidR="00232485" w:rsidRPr="00232485" w14:paraId="41A033EC" w14:textId="77777777" w:rsidTr="005655D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5655D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96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A740B" w:rsidRPr="00232485" w14:paraId="59E186FE" w14:textId="77777777" w:rsidTr="0056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8A740B" w:rsidRPr="00232485" w:rsidRDefault="008A740B" w:rsidP="008A740B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1EE90D6B" w14:textId="20572C40" w:rsidR="008A740B" w:rsidRDefault="008A740B" w:rsidP="008A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</w:t>
            </w:r>
            <w:r w:rsidR="001441AC">
              <w:rPr>
                <w:sz w:val="22"/>
                <w:szCs w:val="22"/>
              </w:rPr>
              <w:t>0</w:t>
            </w:r>
            <w:r w:rsidR="00C97A35">
              <w:rPr>
                <w:sz w:val="22"/>
                <w:szCs w:val="22"/>
              </w:rPr>
              <w:t>4</w:t>
            </w:r>
          </w:p>
          <w:p w14:paraId="5FE64445" w14:textId="6DB4896D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6F453F99" w:rsidR="008A740B" w:rsidRPr="00232485" w:rsidRDefault="008A740B" w:rsidP="008A740B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1EAF834" w14:textId="4924A0AB" w:rsidR="008A740B" w:rsidRPr="00232485" w:rsidRDefault="001441AC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97A35">
              <w:rPr>
                <w:color w:val="000000"/>
                <w:sz w:val="22"/>
                <w:szCs w:val="22"/>
              </w:rPr>
              <w:t>0,5</w:t>
            </w:r>
            <w:r w:rsidR="008A740B">
              <w:rPr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1096" w:type="dxa"/>
          </w:tcPr>
          <w:p w14:paraId="67B71F85" w14:textId="1D2C6E82" w:rsidR="008A740B" w:rsidRPr="00232485" w:rsidRDefault="00C97A35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2 931,50</w:t>
            </w:r>
            <w:r w:rsidR="008A740B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47" w:type="dxa"/>
          </w:tcPr>
          <w:p w14:paraId="1B2F6BD4" w14:textId="209F5FD7" w:rsidR="008A740B" w:rsidRPr="00232485" w:rsidRDefault="00C97A35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5 863</w:t>
            </w:r>
            <w:r w:rsidR="008A740B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</w:tcPr>
          <w:p w14:paraId="4373CCE5" w14:textId="6B85B506" w:rsidR="008A740B" w:rsidRPr="00232485" w:rsidRDefault="00C97A35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8 794,50</w:t>
            </w:r>
            <w:r w:rsidR="001441AC">
              <w:rPr>
                <w:color w:val="000000"/>
                <w:sz w:val="22"/>
                <w:szCs w:val="22"/>
              </w:rPr>
              <w:t xml:space="preserve"> </w:t>
            </w:r>
            <w:r w:rsidR="008A740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630" w:type="dxa"/>
          </w:tcPr>
          <w:p w14:paraId="215F237F" w14:textId="6D817FD7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C984190" w14:textId="1A78E60D" w:rsidR="000F7799" w:rsidRDefault="005655D4" w:rsidP="005655D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</w:rPr>
        <w:t xml:space="preserve">   </w:t>
      </w:r>
      <w:r w:rsidR="000F7799"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 w:rsidR="000F7799"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proofErr w:type="spellStart"/>
      <w:r w:rsidR="0086657E" w:rsidRPr="0086657E">
        <w:rPr>
          <w:color w:val="000000"/>
          <w:sz w:val="28"/>
          <w:szCs w:val="28"/>
        </w:rPr>
        <w:t>офисно</w:t>
      </w:r>
      <w:proofErr w:type="spellEnd"/>
      <w:r w:rsidR="0086657E" w:rsidRPr="0086657E">
        <w:rPr>
          <w:color w:val="000000"/>
          <w:sz w:val="28"/>
          <w:szCs w:val="28"/>
        </w:rPr>
        <w:t>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0EAAB284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C54B45">
        <w:rPr>
          <w:bCs/>
          <w:sz w:val="28"/>
          <w:szCs w:val="28"/>
        </w:rPr>
        <w:t>с</w:t>
      </w:r>
      <w:r w:rsidR="00781BA1" w:rsidRPr="00C54B45">
        <w:rPr>
          <w:bCs/>
          <w:sz w:val="28"/>
          <w:szCs w:val="28"/>
        </w:rPr>
        <w:t xml:space="preserve"> 0</w:t>
      </w:r>
      <w:r w:rsidR="00077FBA">
        <w:rPr>
          <w:bCs/>
          <w:sz w:val="28"/>
          <w:szCs w:val="28"/>
        </w:rPr>
        <w:t>0</w:t>
      </w:r>
      <w:r w:rsidR="00244A5D" w:rsidRPr="00C54B45">
        <w:rPr>
          <w:bCs/>
          <w:sz w:val="28"/>
          <w:szCs w:val="28"/>
        </w:rPr>
        <w:t xml:space="preserve"> ч. </w:t>
      </w:r>
      <w:r w:rsidR="00BB2241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>0</w:t>
      </w:r>
      <w:r w:rsidRPr="00C54B45">
        <w:rPr>
          <w:bCs/>
          <w:sz w:val="28"/>
          <w:szCs w:val="28"/>
        </w:rPr>
        <w:t xml:space="preserve"> м. </w:t>
      </w:r>
      <w:r w:rsidR="001441AC" w:rsidRPr="00C54B45">
        <w:rPr>
          <w:bCs/>
          <w:sz w:val="28"/>
          <w:szCs w:val="28"/>
        </w:rPr>
        <w:t>0</w:t>
      </w:r>
      <w:r w:rsidR="00C97A35">
        <w:rPr>
          <w:bCs/>
          <w:sz w:val="28"/>
          <w:szCs w:val="28"/>
        </w:rPr>
        <w:t>6</w:t>
      </w:r>
      <w:r w:rsidR="002C4951" w:rsidRPr="00C54B45">
        <w:rPr>
          <w:bCs/>
          <w:sz w:val="28"/>
          <w:szCs w:val="28"/>
        </w:rPr>
        <w:t xml:space="preserve"> </w:t>
      </w:r>
      <w:r w:rsidR="001441AC" w:rsidRPr="00C54B45">
        <w:rPr>
          <w:bCs/>
          <w:sz w:val="28"/>
          <w:szCs w:val="28"/>
        </w:rPr>
        <w:t>ию</w:t>
      </w:r>
      <w:r w:rsidR="00C97A35">
        <w:rPr>
          <w:bCs/>
          <w:sz w:val="28"/>
          <w:szCs w:val="28"/>
        </w:rPr>
        <w:t>л</w:t>
      </w:r>
      <w:r w:rsidR="001441AC" w:rsidRPr="00C54B45">
        <w:rPr>
          <w:bCs/>
          <w:sz w:val="28"/>
          <w:szCs w:val="28"/>
        </w:rPr>
        <w:t>я</w:t>
      </w:r>
      <w:r w:rsidR="002A6743" w:rsidRPr="00C54B45">
        <w:rPr>
          <w:bCs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F029F4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532FD0" w:rsidRPr="00C54B45">
        <w:rPr>
          <w:bCs/>
          <w:sz w:val="28"/>
          <w:szCs w:val="28"/>
        </w:rPr>
        <w:t xml:space="preserve"> г.</w:t>
      </w:r>
      <w:r w:rsidRPr="00C54B45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4D0EB8B1" w:rsidR="005C4CF8" w:rsidRPr="00C54B45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 w:rsidRPr="00C54B45">
        <w:rPr>
          <w:bCs/>
          <w:sz w:val="28"/>
          <w:szCs w:val="28"/>
        </w:rPr>
        <w:t>1</w:t>
      </w:r>
      <w:r w:rsidR="00F84F76" w:rsidRPr="00C54B45">
        <w:rPr>
          <w:bCs/>
          <w:sz w:val="28"/>
          <w:szCs w:val="28"/>
        </w:rPr>
        <w:t>1</w:t>
      </w:r>
      <w:r w:rsidRPr="00C54B45">
        <w:rPr>
          <w:bCs/>
          <w:sz w:val="28"/>
          <w:szCs w:val="28"/>
        </w:rPr>
        <w:t xml:space="preserve"> ч. </w:t>
      </w:r>
      <w:r w:rsidR="00C97A35">
        <w:rPr>
          <w:bCs/>
          <w:sz w:val="28"/>
          <w:szCs w:val="28"/>
        </w:rPr>
        <w:t>0</w:t>
      </w:r>
      <w:r w:rsidRPr="00C54B45">
        <w:rPr>
          <w:bCs/>
          <w:sz w:val="28"/>
          <w:szCs w:val="28"/>
        </w:rPr>
        <w:t xml:space="preserve">0 м. </w:t>
      </w:r>
      <w:r w:rsidR="001441AC" w:rsidRPr="00C54B45">
        <w:rPr>
          <w:bCs/>
          <w:sz w:val="28"/>
          <w:szCs w:val="28"/>
        </w:rPr>
        <w:t>0</w:t>
      </w:r>
      <w:r w:rsidR="00C97A35">
        <w:rPr>
          <w:bCs/>
          <w:sz w:val="28"/>
          <w:szCs w:val="28"/>
        </w:rPr>
        <w:t>5</w:t>
      </w:r>
    </w:p>
    <w:p w14:paraId="79C36A7D" w14:textId="0A632445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lastRenderedPageBreak/>
        <w:t xml:space="preserve"> </w:t>
      </w:r>
      <w:r w:rsidR="00C97A35">
        <w:rPr>
          <w:bCs/>
          <w:sz w:val="28"/>
          <w:szCs w:val="28"/>
        </w:rPr>
        <w:t>августа</w:t>
      </w:r>
      <w:r w:rsidR="00670D1E" w:rsidRPr="00C54B45">
        <w:rPr>
          <w:bCs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095005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0507D3" w:rsidRPr="00C54B45">
        <w:rPr>
          <w:bCs/>
          <w:sz w:val="28"/>
          <w:szCs w:val="28"/>
        </w:rPr>
        <w:t xml:space="preserve"> </w:t>
      </w:r>
      <w:r w:rsidR="00EC1D46" w:rsidRPr="00C54B45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1093BF9E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C54B45">
        <w:rPr>
          <w:color w:val="000000"/>
          <w:sz w:val="28"/>
          <w:szCs w:val="28"/>
        </w:rPr>
        <w:t xml:space="preserve">с </w:t>
      </w:r>
      <w:r w:rsidR="001441AC" w:rsidRPr="00C54B45">
        <w:rPr>
          <w:color w:val="000000"/>
          <w:sz w:val="28"/>
          <w:szCs w:val="28"/>
        </w:rPr>
        <w:t>0</w:t>
      </w:r>
      <w:r w:rsidR="00C97A35">
        <w:rPr>
          <w:color w:val="000000"/>
          <w:sz w:val="28"/>
          <w:szCs w:val="28"/>
        </w:rPr>
        <w:t>6</w:t>
      </w:r>
      <w:r w:rsidR="007C78FA" w:rsidRPr="00C54B45">
        <w:rPr>
          <w:color w:val="000000"/>
          <w:sz w:val="28"/>
          <w:szCs w:val="28"/>
        </w:rPr>
        <w:t xml:space="preserve"> </w:t>
      </w:r>
      <w:r w:rsidR="001441AC" w:rsidRPr="00C54B45">
        <w:rPr>
          <w:color w:val="000000"/>
          <w:sz w:val="28"/>
          <w:szCs w:val="28"/>
        </w:rPr>
        <w:t>ию</w:t>
      </w:r>
      <w:r w:rsidR="00C97A35">
        <w:rPr>
          <w:color w:val="000000"/>
          <w:sz w:val="28"/>
          <w:szCs w:val="28"/>
        </w:rPr>
        <w:t>л</w:t>
      </w:r>
      <w:r w:rsidR="001441AC" w:rsidRPr="00C54B45">
        <w:rPr>
          <w:color w:val="000000"/>
          <w:sz w:val="28"/>
          <w:szCs w:val="28"/>
        </w:rPr>
        <w:t>я</w:t>
      </w:r>
      <w:r w:rsidR="007C78FA" w:rsidRPr="00C54B45">
        <w:rPr>
          <w:color w:val="000000"/>
          <w:sz w:val="28"/>
          <w:szCs w:val="28"/>
        </w:rPr>
        <w:t xml:space="preserve"> </w:t>
      </w:r>
      <w:r w:rsidR="00174842" w:rsidRPr="00C54B45">
        <w:rPr>
          <w:bCs/>
          <w:sz w:val="28"/>
          <w:szCs w:val="28"/>
        </w:rPr>
        <w:t>20</w:t>
      </w:r>
      <w:r w:rsidR="00F029F4" w:rsidRPr="00C54B45">
        <w:rPr>
          <w:bCs/>
          <w:sz w:val="28"/>
          <w:szCs w:val="28"/>
        </w:rPr>
        <w:t>2</w:t>
      </w:r>
      <w:r w:rsidR="00F84F76" w:rsidRPr="00C54B45">
        <w:rPr>
          <w:bCs/>
          <w:sz w:val="28"/>
          <w:szCs w:val="28"/>
        </w:rPr>
        <w:t>4</w:t>
      </w:r>
      <w:r w:rsidR="00C456D0" w:rsidRPr="00C54B45">
        <w:rPr>
          <w:bCs/>
          <w:sz w:val="28"/>
          <w:szCs w:val="28"/>
        </w:rPr>
        <w:t xml:space="preserve"> года</w:t>
      </w:r>
      <w:r w:rsidR="005A35F7" w:rsidRPr="00C54B45">
        <w:rPr>
          <w:bCs/>
          <w:sz w:val="28"/>
          <w:szCs w:val="28"/>
        </w:rPr>
        <w:t xml:space="preserve"> </w:t>
      </w:r>
      <w:r w:rsidR="00781BA1" w:rsidRPr="00C54B45">
        <w:rPr>
          <w:bCs/>
          <w:sz w:val="28"/>
          <w:szCs w:val="28"/>
        </w:rPr>
        <w:t>00</w:t>
      </w:r>
      <w:r w:rsidR="00095005" w:rsidRPr="00C54B45">
        <w:rPr>
          <w:color w:val="000000"/>
          <w:sz w:val="28"/>
          <w:szCs w:val="28"/>
        </w:rPr>
        <w:t>-</w:t>
      </w:r>
      <w:r w:rsidR="00077FBA">
        <w:rPr>
          <w:color w:val="000000"/>
          <w:sz w:val="28"/>
          <w:szCs w:val="28"/>
        </w:rPr>
        <w:t>0</w:t>
      </w:r>
      <w:r w:rsidR="00095005" w:rsidRPr="00C54B45">
        <w:rPr>
          <w:color w:val="000000"/>
          <w:sz w:val="28"/>
          <w:szCs w:val="28"/>
        </w:rPr>
        <w:t>0</w:t>
      </w:r>
      <w:r w:rsidR="00282F7B" w:rsidRPr="00C54B45">
        <w:rPr>
          <w:color w:val="000000"/>
          <w:sz w:val="28"/>
          <w:szCs w:val="28"/>
        </w:rPr>
        <w:t xml:space="preserve"> час</w:t>
      </w:r>
      <w:r w:rsidR="00045CDE" w:rsidRPr="00C54B45">
        <w:rPr>
          <w:color w:val="000000"/>
          <w:sz w:val="28"/>
          <w:szCs w:val="28"/>
        </w:rPr>
        <w:t>ов</w:t>
      </w:r>
      <w:r w:rsidR="00455B3B" w:rsidRPr="00C54B45">
        <w:rPr>
          <w:color w:val="000000"/>
          <w:sz w:val="28"/>
          <w:szCs w:val="28"/>
        </w:rPr>
        <w:t>,</w:t>
      </w:r>
      <w:r w:rsidR="005A35F7" w:rsidRPr="00C54B45">
        <w:rPr>
          <w:color w:val="000000"/>
          <w:sz w:val="28"/>
          <w:szCs w:val="28"/>
        </w:rPr>
        <w:t xml:space="preserve"> п</w:t>
      </w:r>
      <w:r w:rsidR="00C456D0" w:rsidRPr="00C54B45">
        <w:rPr>
          <w:color w:val="000000"/>
          <w:sz w:val="28"/>
          <w:szCs w:val="28"/>
        </w:rPr>
        <w:t>о</w:t>
      </w:r>
      <w:r w:rsidR="005A35F7" w:rsidRPr="00C54B45">
        <w:rPr>
          <w:color w:val="000000"/>
          <w:sz w:val="28"/>
          <w:szCs w:val="28"/>
        </w:rPr>
        <w:t xml:space="preserve"> </w:t>
      </w:r>
      <w:r w:rsidR="001441AC" w:rsidRPr="00C54B45">
        <w:rPr>
          <w:color w:val="000000"/>
          <w:sz w:val="28"/>
          <w:szCs w:val="28"/>
        </w:rPr>
        <w:t>0</w:t>
      </w:r>
      <w:r w:rsidR="00C97A35">
        <w:rPr>
          <w:color w:val="000000"/>
          <w:sz w:val="28"/>
          <w:szCs w:val="28"/>
        </w:rPr>
        <w:t>5</w:t>
      </w:r>
      <w:r w:rsidR="00045CDE" w:rsidRPr="00C54B45">
        <w:rPr>
          <w:color w:val="000000"/>
          <w:sz w:val="28"/>
          <w:szCs w:val="28"/>
        </w:rPr>
        <w:t xml:space="preserve"> </w:t>
      </w:r>
      <w:r w:rsidR="00C97A35">
        <w:rPr>
          <w:color w:val="000000"/>
          <w:sz w:val="28"/>
          <w:szCs w:val="28"/>
        </w:rPr>
        <w:t>августа</w:t>
      </w:r>
      <w:r w:rsidR="008F12DE" w:rsidRPr="00C54B45">
        <w:rPr>
          <w:bCs/>
          <w:sz w:val="28"/>
          <w:szCs w:val="28"/>
        </w:rPr>
        <w:t xml:space="preserve"> </w:t>
      </w:r>
      <w:r w:rsidR="00A83CC3" w:rsidRPr="00C54B45">
        <w:rPr>
          <w:bCs/>
          <w:sz w:val="28"/>
          <w:szCs w:val="28"/>
        </w:rPr>
        <w:t>2</w:t>
      </w:r>
      <w:r w:rsidR="00A83CC3" w:rsidRPr="00C54B45">
        <w:rPr>
          <w:color w:val="000000"/>
          <w:sz w:val="28"/>
          <w:szCs w:val="28"/>
        </w:rPr>
        <w:t>02</w:t>
      </w:r>
      <w:r w:rsidR="00F84F76" w:rsidRPr="00C54B45">
        <w:rPr>
          <w:color w:val="000000"/>
          <w:sz w:val="28"/>
          <w:szCs w:val="28"/>
        </w:rPr>
        <w:t>4</w:t>
      </w:r>
      <w:r w:rsidR="00A83CC3" w:rsidRPr="00C54B45">
        <w:rPr>
          <w:color w:val="000000"/>
          <w:sz w:val="28"/>
          <w:szCs w:val="28"/>
        </w:rPr>
        <w:t xml:space="preserve"> год</w:t>
      </w:r>
      <w:bookmarkEnd w:id="6"/>
      <w:r w:rsidR="005C4CF8" w:rsidRPr="00C54B45">
        <w:rPr>
          <w:color w:val="000000"/>
          <w:sz w:val="28"/>
          <w:szCs w:val="28"/>
        </w:rPr>
        <w:t>а</w:t>
      </w:r>
      <w:r w:rsidR="00F84F76" w:rsidRPr="00C54B45">
        <w:rPr>
          <w:color w:val="000000"/>
          <w:sz w:val="28"/>
          <w:szCs w:val="28"/>
        </w:rPr>
        <w:t xml:space="preserve"> 11:</w:t>
      </w:r>
      <w:r w:rsidR="00C97A35">
        <w:rPr>
          <w:color w:val="000000"/>
          <w:sz w:val="28"/>
          <w:szCs w:val="28"/>
        </w:rPr>
        <w:t>0</w:t>
      </w:r>
      <w:r w:rsidR="00F84F76" w:rsidRPr="00C54B45">
        <w:rPr>
          <w:color w:val="000000"/>
          <w:sz w:val="28"/>
          <w:szCs w:val="28"/>
        </w:rPr>
        <w:t>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65D8B642" w:rsidR="00045CDE" w:rsidRPr="0094270E" w:rsidRDefault="001441AC" w:rsidP="00045CDE">
      <w:pPr>
        <w:ind w:firstLine="851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>0</w:t>
      </w:r>
      <w:r w:rsidR="00C97A35">
        <w:rPr>
          <w:bCs/>
          <w:sz w:val="28"/>
          <w:szCs w:val="28"/>
        </w:rPr>
        <w:t>5</w:t>
      </w:r>
      <w:r w:rsidR="00045CDE" w:rsidRPr="00C54B45">
        <w:rPr>
          <w:bCs/>
          <w:sz w:val="28"/>
          <w:szCs w:val="28"/>
        </w:rPr>
        <w:t xml:space="preserve"> </w:t>
      </w:r>
      <w:r w:rsidR="00C97A35">
        <w:rPr>
          <w:bCs/>
          <w:sz w:val="28"/>
          <w:szCs w:val="28"/>
        </w:rPr>
        <w:t>августа</w:t>
      </w:r>
      <w:r w:rsidR="00045CDE" w:rsidRPr="00C54B45">
        <w:rPr>
          <w:bCs/>
          <w:sz w:val="28"/>
          <w:szCs w:val="28"/>
        </w:rPr>
        <w:t xml:space="preserve"> 202</w:t>
      </w:r>
      <w:r w:rsidR="00F84F76" w:rsidRPr="00C54B45">
        <w:rPr>
          <w:bCs/>
          <w:sz w:val="28"/>
          <w:szCs w:val="28"/>
        </w:rPr>
        <w:t>4</w:t>
      </w:r>
      <w:r w:rsidR="00045CDE" w:rsidRPr="00C54B45">
        <w:rPr>
          <w:bCs/>
          <w:sz w:val="28"/>
          <w:szCs w:val="28"/>
        </w:rPr>
        <w:t xml:space="preserve"> г. </w:t>
      </w:r>
      <w:r w:rsidR="00B83D4F" w:rsidRPr="00C54B45">
        <w:rPr>
          <w:bCs/>
          <w:sz w:val="28"/>
          <w:szCs w:val="28"/>
        </w:rPr>
        <w:t>11</w:t>
      </w:r>
      <w:r w:rsidR="00045CDE" w:rsidRPr="00C54B45">
        <w:rPr>
          <w:bCs/>
          <w:sz w:val="28"/>
          <w:szCs w:val="28"/>
        </w:rPr>
        <w:t xml:space="preserve"> ч. </w:t>
      </w:r>
      <w:r w:rsidR="00C97A35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>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218018D8" w:rsidR="00045CDE" w:rsidRPr="0094270E" w:rsidRDefault="001441AC" w:rsidP="00045CDE">
      <w:pPr>
        <w:ind w:firstLine="851"/>
        <w:jc w:val="both"/>
        <w:rPr>
          <w:bCs/>
          <w:sz w:val="28"/>
          <w:szCs w:val="28"/>
        </w:rPr>
      </w:pPr>
      <w:r w:rsidRPr="00C54B45">
        <w:rPr>
          <w:bCs/>
          <w:sz w:val="28"/>
          <w:szCs w:val="28"/>
        </w:rPr>
        <w:t>0</w:t>
      </w:r>
      <w:r w:rsidR="00C97A35">
        <w:rPr>
          <w:bCs/>
          <w:sz w:val="28"/>
          <w:szCs w:val="28"/>
        </w:rPr>
        <w:t>5</w:t>
      </w:r>
      <w:r w:rsidR="002C4951" w:rsidRPr="00C54B45">
        <w:rPr>
          <w:bCs/>
          <w:sz w:val="28"/>
          <w:szCs w:val="28"/>
        </w:rPr>
        <w:t xml:space="preserve"> </w:t>
      </w:r>
      <w:r w:rsidR="00C97A35">
        <w:rPr>
          <w:bCs/>
          <w:sz w:val="28"/>
          <w:szCs w:val="28"/>
        </w:rPr>
        <w:t>августа</w:t>
      </w:r>
      <w:r w:rsidR="002C4951" w:rsidRPr="00C54B45">
        <w:rPr>
          <w:bCs/>
          <w:sz w:val="28"/>
          <w:szCs w:val="28"/>
        </w:rPr>
        <w:t xml:space="preserve"> </w:t>
      </w:r>
      <w:r w:rsidR="00045CDE" w:rsidRPr="00C54B45">
        <w:rPr>
          <w:color w:val="000000"/>
          <w:sz w:val="28"/>
          <w:szCs w:val="28"/>
        </w:rPr>
        <w:t>202</w:t>
      </w:r>
      <w:r w:rsidR="00F84F76" w:rsidRPr="00C54B45">
        <w:rPr>
          <w:color w:val="000000"/>
          <w:sz w:val="28"/>
          <w:szCs w:val="28"/>
        </w:rPr>
        <w:t>4</w:t>
      </w:r>
      <w:r w:rsidR="00045CDE" w:rsidRPr="00C54B45">
        <w:rPr>
          <w:color w:val="000000"/>
          <w:sz w:val="28"/>
          <w:szCs w:val="28"/>
        </w:rPr>
        <w:t xml:space="preserve"> г. </w:t>
      </w:r>
      <w:r w:rsidR="00F84F76" w:rsidRPr="00C54B45">
        <w:rPr>
          <w:bCs/>
          <w:sz w:val="28"/>
          <w:szCs w:val="28"/>
        </w:rPr>
        <w:t>15</w:t>
      </w:r>
      <w:r w:rsidR="00045CDE" w:rsidRPr="00C54B45">
        <w:rPr>
          <w:bCs/>
          <w:sz w:val="28"/>
          <w:szCs w:val="28"/>
        </w:rPr>
        <w:t xml:space="preserve"> ч. </w:t>
      </w:r>
      <w:r w:rsidR="00077FBA">
        <w:rPr>
          <w:bCs/>
          <w:sz w:val="28"/>
          <w:szCs w:val="28"/>
        </w:rPr>
        <w:t>0</w:t>
      </w:r>
      <w:r w:rsidR="00C97A35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 xml:space="preserve">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749D20D9" w:rsidR="00045CDE" w:rsidRPr="00AE7031" w:rsidRDefault="00C97A35" w:rsidP="00455B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2C4951" w:rsidRPr="00C54B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="00045CDE" w:rsidRPr="00C54B45">
        <w:rPr>
          <w:color w:val="000000"/>
          <w:sz w:val="28"/>
          <w:szCs w:val="28"/>
        </w:rPr>
        <w:t>202</w:t>
      </w:r>
      <w:r w:rsidR="00F84F76" w:rsidRPr="00C54B45">
        <w:rPr>
          <w:color w:val="000000"/>
          <w:sz w:val="28"/>
          <w:szCs w:val="28"/>
        </w:rPr>
        <w:t>4</w:t>
      </w:r>
      <w:r w:rsidR="00045CDE" w:rsidRPr="00C54B45">
        <w:rPr>
          <w:color w:val="000000"/>
          <w:sz w:val="28"/>
          <w:szCs w:val="28"/>
        </w:rPr>
        <w:t xml:space="preserve"> г. </w:t>
      </w:r>
      <w:r w:rsidR="00045CDE" w:rsidRPr="00C54B45">
        <w:rPr>
          <w:bCs/>
          <w:sz w:val="28"/>
          <w:szCs w:val="28"/>
        </w:rPr>
        <w:t>1</w:t>
      </w:r>
      <w:r w:rsidR="00F84F76" w:rsidRPr="00C54B45">
        <w:rPr>
          <w:bCs/>
          <w:sz w:val="28"/>
          <w:szCs w:val="28"/>
        </w:rPr>
        <w:t>5</w:t>
      </w:r>
      <w:r w:rsidR="00045CDE" w:rsidRPr="00C54B45">
        <w:rPr>
          <w:bCs/>
          <w:sz w:val="28"/>
          <w:szCs w:val="28"/>
        </w:rPr>
        <w:t xml:space="preserve"> ч. </w:t>
      </w:r>
      <w:r w:rsidR="00077FBA">
        <w:rPr>
          <w:bCs/>
          <w:sz w:val="28"/>
          <w:szCs w:val="28"/>
        </w:rPr>
        <w:t>0</w:t>
      </w:r>
      <w:r w:rsidR="00045CDE" w:rsidRPr="00C54B45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77FBA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317A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441AC"/>
    <w:rsid w:val="00150488"/>
    <w:rsid w:val="00150DAC"/>
    <w:rsid w:val="001532C0"/>
    <w:rsid w:val="00173344"/>
    <w:rsid w:val="00174842"/>
    <w:rsid w:val="00175B23"/>
    <w:rsid w:val="00182973"/>
    <w:rsid w:val="0019336C"/>
    <w:rsid w:val="00195720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655D4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54A6"/>
    <w:rsid w:val="00676C49"/>
    <w:rsid w:val="0068022A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40B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D7C81"/>
    <w:rsid w:val="00AE3EAE"/>
    <w:rsid w:val="00AE3FD0"/>
    <w:rsid w:val="00AE7031"/>
    <w:rsid w:val="00AE7130"/>
    <w:rsid w:val="00AF0EA8"/>
    <w:rsid w:val="00AF6963"/>
    <w:rsid w:val="00B05B66"/>
    <w:rsid w:val="00B13259"/>
    <w:rsid w:val="00B21B60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3D4F"/>
    <w:rsid w:val="00B870AE"/>
    <w:rsid w:val="00B87100"/>
    <w:rsid w:val="00BA1651"/>
    <w:rsid w:val="00BA66A5"/>
    <w:rsid w:val="00BA76FB"/>
    <w:rsid w:val="00BB2241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4B45"/>
    <w:rsid w:val="00C55E03"/>
    <w:rsid w:val="00C57A05"/>
    <w:rsid w:val="00C65320"/>
    <w:rsid w:val="00C719B3"/>
    <w:rsid w:val="00C73771"/>
    <w:rsid w:val="00C769E1"/>
    <w:rsid w:val="00C81DB3"/>
    <w:rsid w:val="00C97A35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0E13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00B7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8892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7</cp:revision>
  <cp:lastPrinted>2019-11-18T02:14:00Z</cp:lastPrinted>
  <dcterms:created xsi:type="dcterms:W3CDTF">2024-06-06T01:43:00Z</dcterms:created>
  <dcterms:modified xsi:type="dcterms:W3CDTF">2024-07-05T06:07:00Z</dcterms:modified>
</cp:coreProperties>
</file>