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5FBC059E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2025г.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77777777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E441AE">
        <w:rPr>
          <w:b/>
          <w:sz w:val="22"/>
        </w:rPr>
        <w:t>5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="00CE41E6" w:rsidRPr="00DB0B6E">
        <w:rPr>
          <w:sz w:val="22"/>
          <w:szCs w:val="22"/>
        </w:rPr>
        <w:t>Федерального закона от 24 июля 2007 года №</w:t>
      </w:r>
      <w:r w:rsidR="007C4A80">
        <w:rPr>
          <w:sz w:val="22"/>
          <w:szCs w:val="22"/>
        </w:rPr>
        <w:t xml:space="preserve"> </w:t>
      </w:r>
      <w:r w:rsidR="00CE41E6" w:rsidRPr="00DB0B6E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DB0B6E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</w:t>
      </w:r>
      <w:r w:rsidR="007C4A80" w:rsidRPr="007C4A80">
        <w:rPr>
          <w:sz w:val="22"/>
          <w:szCs w:val="22"/>
        </w:rPr>
        <w:t>риказ</w:t>
      </w:r>
      <w:r w:rsidR="007C4A80">
        <w:rPr>
          <w:sz w:val="22"/>
          <w:szCs w:val="22"/>
        </w:rPr>
        <w:t xml:space="preserve">а </w:t>
      </w:r>
      <w:r w:rsidR="007C4A80" w:rsidRPr="007C4A80">
        <w:rPr>
          <w:sz w:val="22"/>
          <w:szCs w:val="22"/>
        </w:rPr>
        <w:t>Министерства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экономического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развития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РФ от 14 марта 2019 г</w:t>
      </w:r>
      <w:r w:rsidR="007C4A80">
        <w:rPr>
          <w:sz w:val="22"/>
          <w:szCs w:val="22"/>
        </w:rPr>
        <w:t>ода</w:t>
      </w:r>
      <w:r w:rsidR="007C4A80" w:rsidRPr="007C4A80">
        <w:rPr>
          <w:sz w:val="22"/>
          <w:szCs w:val="22"/>
        </w:rPr>
        <w:t xml:space="preserve"> </w:t>
      </w:r>
      <w:r w:rsidR="007C4A80">
        <w:rPr>
          <w:sz w:val="22"/>
          <w:szCs w:val="22"/>
        </w:rPr>
        <w:t xml:space="preserve">№ </w:t>
      </w:r>
      <w:r w:rsidR="007C4A80" w:rsidRPr="007C4A80">
        <w:rPr>
          <w:sz w:val="22"/>
          <w:szCs w:val="22"/>
        </w:rPr>
        <w:t>125</w:t>
      </w:r>
      <w:r w:rsidR="007C4A80">
        <w:rPr>
          <w:sz w:val="22"/>
          <w:szCs w:val="22"/>
        </w:rPr>
        <w:t xml:space="preserve"> «</w:t>
      </w:r>
      <w:r w:rsidR="007C4A80" w:rsidRPr="007C4A80">
        <w:rPr>
          <w:sz w:val="22"/>
          <w:szCs w:val="22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7C4A80">
        <w:rPr>
          <w:sz w:val="22"/>
          <w:szCs w:val="22"/>
        </w:rPr>
        <w:t>«</w:t>
      </w:r>
      <w:r w:rsidR="007C4A80" w:rsidRPr="007C4A80">
        <w:rPr>
          <w:sz w:val="22"/>
          <w:szCs w:val="22"/>
        </w:rPr>
        <w:t>Малое и среднее предпринимательство и поддержка индивидуальной предпринимательской инициативы</w:t>
      </w:r>
      <w:r w:rsidR="007C4A80">
        <w:rPr>
          <w:sz w:val="22"/>
          <w:szCs w:val="22"/>
        </w:rPr>
        <w:t>»</w:t>
      </w:r>
      <w:r w:rsidR="007C4A80" w:rsidRPr="007C4A80">
        <w:rPr>
          <w:sz w:val="22"/>
          <w:szCs w:val="22"/>
        </w:rPr>
        <w:t>, и требований к организациям, образующим инфраструктуру поддержки субъектов малого и среднего предпринимательства</w:t>
      </w:r>
      <w:r w:rsidR="007C4A80">
        <w:rPr>
          <w:sz w:val="22"/>
          <w:szCs w:val="22"/>
        </w:rPr>
        <w:t>»;</w:t>
      </w:r>
    </w:p>
    <w:p w14:paraId="08DB46AA" w14:textId="77777777" w:rsidR="007C4A80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="00CE41E6" w:rsidRPr="00DB0B6E">
        <w:rPr>
          <w:sz w:val="22"/>
          <w:szCs w:val="22"/>
        </w:rPr>
        <w:t>приказа Федеральной антимонопольной службы от 21 марта 2023</w:t>
      </w:r>
      <w:r w:rsidR="007C4A80">
        <w:rPr>
          <w:sz w:val="22"/>
          <w:szCs w:val="22"/>
        </w:rPr>
        <w:t xml:space="preserve"> </w:t>
      </w:r>
      <w:r w:rsidR="00CE41E6" w:rsidRPr="00DB0B6E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>
        <w:rPr>
          <w:sz w:val="22"/>
          <w:szCs w:val="22"/>
        </w:rPr>
        <w:t>;</w:t>
      </w:r>
    </w:p>
    <w:p w14:paraId="0270EC66" w14:textId="43AA2EDA" w:rsidR="007A363C" w:rsidRPr="007A363C" w:rsidRDefault="007A363C" w:rsidP="007A363C">
      <w:pPr>
        <w:autoSpaceDE w:val="0"/>
        <w:autoSpaceDN w:val="0"/>
        <w:adjustRightInd w:val="0"/>
        <w:ind w:firstLine="709"/>
        <w:jc w:val="both"/>
      </w:pPr>
      <w:r>
        <w:t>– Федеральный закон от 26 июля 2006 года № 135-ФЗ «О защите конкуренции»;</w:t>
      </w:r>
    </w:p>
    <w:p w14:paraId="5F329B75" w14:textId="7E48ECD3" w:rsidR="007C4A80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7A363C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>
        <w:rPr>
          <w:sz w:val="22"/>
          <w:szCs w:val="22"/>
        </w:rPr>
        <w:t>75</w:t>
      </w:r>
      <w:r w:rsidRPr="007A363C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etpgpb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ru</w:t>
        </w:r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03472CEE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FF3FC0">
        <w:rPr>
          <w:b/>
          <w:sz w:val="22"/>
          <w:szCs w:val="22"/>
          <w:highlight w:val="yellow"/>
        </w:rPr>
        <w:t>20</w:t>
      </w:r>
      <w:r w:rsidR="00E441A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1734AA5C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FF3FC0">
        <w:rPr>
          <w:b/>
          <w:sz w:val="22"/>
          <w:szCs w:val="22"/>
          <w:highlight w:val="yellow"/>
        </w:rPr>
        <w:t>20</w:t>
      </w:r>
      <w:r w:rsidR="0071657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0D794E08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</w:t>
      </w:r>
      <w:r w:rsidR="001E71C4">
        <w:rPr>
          <w:sz w:val="22"/>
          <w:szCs w:val="22"/>
          <w:highlight w:val="yellow"/>
        </w:rPr>
        <w:t>15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1E71C4">
        <w:rPr>
          <w:sz w:val="22"/>
          <w:szCs w:val="22"/>
          <w:highlight w:val="yellow"/>
        </w:rPr>
        <w:t>17</w:t>
      </w:r>
      <w:r w:rsidR="0084217E" w:rsidRPr="004E05B5">
        <w:rPr>
          <w:sz w:val="22"/>
          <w:szCs w:val="22"/>
          <w:highlight w:val="yellow"/>
        </w:rPr>
        <w:t>,</w:t>
      </w:r>
      <w:r w:rsidR="001E71C4">
        <w:rPr>
          <w:sz w:val="22"/>
          <w:szCs w:val="22"/>
          <w:highlight w:val="yellow"/>
        </w:rPr>
        <w:t>7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1E71C4">
        <w:rPr>
          <w:sz w:val="22"/>
          <w:szCs w:val="22"/>
          <w:highlight w:val="yellow"/>
        </w:rPr>
        <w:t>36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4C449A33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FF3FC0">
        <w:rPr>
          <w:b/>
          <w:sz w:val="22"/>
          <w:szCs w:val="22"/>
          <w:highlight w:val="yellow"/>
        </w:rPr>
        <w:t>25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10</w:t>
      </w:r>
      <w:r w:rsidR="00E441AE">
        <w:rPr>
          <w:b/>
          <w:bCs/>
          <w:sz w:val="22"/>
          <w:szCs w:val="22"/>
          <w:highlight w:val="yellow"/>
        </w:rPr>
        <w:t>.2025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FF3FC0">
        <w:rPr>
          <w:b/>
          <w:bCs/>
          <w:sz w:val="22"/>
          <w:szCs w:val="22"/>
          <w:highlight w:val="yellow"/>
        </w:rPr>
        <w:t>24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E441AE">
        <w:rPr>
          <w:b/>
          <w:bCs/>
          <w:sz w:val="22"/>
          <w:szCs w:val="22"/>
        </w:rPr>
        <w:t>5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5D638E01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- 10% от рыночной стоимости арендной платы;</w:t>
      </w:r>
    </w:p>
    <w:p w14:paraId="6B492191" w14:textId="26828460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- 20% от рыночной стоимости арендной платы;</w:t>
      </w:r>
    </w:p>
    <w:p w14:paraId="069A1CB1" w14:textId="12C30F94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- 30%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041BD8E9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1E71C4">
        <w:rPr>
          <w:sz w:val="22"/>
          <w:szCs w:val="22"/>
          <w:highlight w:val="yellow"/>
        </w:rPr>
        <w:t>187</w:t>
      </w:r>
      <w:r w:rsidR="007B181C">
        <w:rPr>
          <w:sz w:val="22"/>
          <w:szCs w:val="22"/>
          <w:highlight w:val="yellow"/>
        </w:rPr>
        <w:t xml:space="preserve"> </w:t>
      </w:r>
      <w:r w:rsidR="001E71C4">
        <w:rPr>
          <w:sz w:val="22"/>
          <w:szCs w:val="22"/>
          <w:highlight w:val="yellow"/>
        </w:rPr>
        <w:t>591</w:t>
      </w:r>
      <w:r w:rsidRPr="00EC2283">
        <w:rPr>
          <w:sz w:val="22"/>
          <w:szCs w:val="22"/>
          <w:highlight w:val="yellow"/>
        </w:rPr>
        <w:t>,</w:t>
      </w:r>
      <w:r w:rsidR="001E71C4">
        <w:rPr>
          <w:sz w:val="22"/>
          <w:szCs w:val="22"/>
          <w:highlight w:val="yellow"/>
        </w:rPr>
        <w:t>68</w:t>
      </w:r>
      <w:r w:rsidRPr="00EC2283">
        <w:rPr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9A7D58">
        <w:trPr>
          <w:trHeight w:val="182"/>
        </w:trPr>
        <w:tc>
          <w:tcPr>
            <w:tcW w:w="7513" w:type="dxa"/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</w:tcPr>
          <w:p w14:paraId="511D5282" w14:textId="67EDD0A6" w:rsidR="0084217E" w:rsidRPr="005278BC" w:rsidRDefault="001E71C4" w:rsidP="009A7D58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605</w:t>
            </w:r>
            <w:r w:rsidR="0084217E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</w:tr>
      <w:tr w:rsidR="0084217E" w:rsidRPr="005278BC" w14:paraId="4B8906A3" w14:textId="77777777" w:rsidTr="009A7D58">
        <w:tc>
          <w:tcPr>
            <w:tcW w:w="7513" w:type="dxa"/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</w:tcPr>
          <w:p w14:paraId="3FCA3611" w14:textId="3DB06AEF" w:rsidR="0084217E" w:rsidRPr="005278BC" w:rsidRDefault="001E71C4" w:rsidP="009A7D58">
            <w:pPr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210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</w:tr>
      <w:tr w:rsidR="0084217E" w:rsidRPr="007305A7" w14:paraId="4DB866C6" w14:textId="77777777" w:rsidTr="009A7D58">
        <w:tc>
          <w:tcPr>
            <w:tcW w:w="7513" w:type="dxa"/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</w:tcPr>
          <w:p w14:paraId="72FC222F" w14:textId="404B9579" w:rsidR="0084217E" w:rsidRPr="005278BC" w:rsidRDefault="001E71C4" w:rsidP="009A7D58">
            <w:pPr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7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816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20E08406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FF3FC0">
        <w:rPr>
          <w:b/>
          <w:sz w:val="22"/>
          <w:szCs w:val="22"/>
          <w:highlight w:val="yellow"/>
        </w:rPr>
        <w:t>25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10</w:t>
      </w:r>
      <w:r w:rsidR="00E441AE">
        <w:rPr>
          <w:b/>
          <w:sz w:val="22"/>
          <w:szCs w:val="22"/>
          <w:highlight w:val="yellow"/>
        </w:rPr>
        <w:t>.2025</w:t>
      </w:r>
      <w:r w:rsidRPr="00B61215">
        <w:rPr>
          <w:sz w:val="22"/>
          <w:szCs w:val="22"/>
        </w:rPr>
        <w:t>.</w:t>
      </w:r>
    </w:p>
    <w:p w14:paraId="512C13EE" w14:textId="0521DCE5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FF3FC0">
        <w:rPr>
          <w:b/>
          <w:sz w:val="22"/>
          <w:szCs w:val="22"/>
          <w:highlight w:val="yellow"/>
        </w:rPr>
        <w:t>24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="00B02FFB" w:rsidRPr="009531B7">
        <w:rPr>
          <w:b/>
          <w:sz w:val="22"/>
          <w:szCs w:val="22"/>
          <w:highlight w:val="yellow"/>
        </w:rPr>
        <w:t>.2025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etpgpb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ru</w:t>
        </w:r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07C40D01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FF3FC0">
        <w:rPr>
          <w:b/>
          <w:bCs/>
          <w:sz w:val="22"/>
          <w:szCs w:val="22"/>
          <w:highlight w:val="yellow"/>
        </w:rPr>
        <w:t>24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616B3" w:rsidRPr="009531B7">
        <w:rPr>
          <w:b/>
          <w:bCs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59A105D4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FF3FC0">
        <w:rPr>
          <w:b/>
          <w:sz w:val="22"/>
          <w:szCs w:val="22"/>
          <w:highlight w:val="yellow"/>
        </w:rPr>
        <w:t>26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sz w:val="22"/>
          <w:szCs w:val="22"/>
          <w:highlight w:val="yellow"/>
        </w:rPr>
        <w:t>.202</w:t>
      </w:r>
      <w:r w:rsidR="00B02FFB" w:rsidRPr="009531B7">
        <w:rPr>
          <w:b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688F697E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FF3FC0">
        <w:rPr>
          <w:b/>
          <w:sz w:val="22"/>
          <w:szCs w:val="22"/>
          <w:highlight w:val="yellow"/>
        </w:rPr>
        <w:t>26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B02FFB" w:rsidRPr="009531B7">
        <w:rPr>
          <w:b/>
          <w:sz w:val="22"/>
          <w:szCs w:val="22"/>
          <w:highlight w:val="yellow"/>
        </w:rPr>
        <w:t>5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72F62162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FF3FC0">
        <w:rPr>
          <w:b/>
          <w:sz w:val="22"/>
          <w:szCs w:val="22"/>
          <w:highlight w:val="yellow"/>
        </w:rPr>
        <w:t>28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156A24">
        <w:rPr>
          <w:b/>
          <w:sz w:val="22"/>
          <w:szCs w:val="22"/>
          <w:highlight w:val="yellow"/>
        </w:rPr>
        <w:t>ноября</w:t>
      </w:r>
      <w:r w:rsidR="00B02FFB" w:rsidRPr="009531B7">
        <w:rPr>
          <w:b/>
          <w:sz w:val="22"/>
          <w:szCs w:val="22"/>
          <w:highlight w:val="yellow"/>
        </w:rPr>
        <w:t xml:space="preserve"> 2025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0844CCB8" w:rsidR="009616B3" w:rsidRPr="00352770" w:rsidRDefault="001E71C4" w:rsidP="009616B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18</w:t>
            </w:r>
            <w:r w:rsidR="009A7D58">
              <w:rPr>
                <w:sz w:val="22"/>
                <w:szCs w:val="22"/>
                <w:highlight w:val="yellow"/>
              </w:rPr>
              <w:t>7</w:t>
            </w:r>
            <w:r w:rsidR="00AA2326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591</w:t>
            </w:r>
            <w:r w:rsidR="00AA2326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68</w:t>
            </w:r>
            <w:r w:rsidR="00AA2326"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> Корреспонденцию в наш адрес просим направлять по адресу:</w:t>
      </w:r>
      <w:r w:rsidR="008134C1">
        <w:rPr>
          <w:sz w:val="22"/>
        </w:rPr>
        <w:t>______________________________________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629C2"/>
    <w:rsid w:val="0007683A"/>
    <w:rsid w:val="000850CB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1E71C4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27DCB"/>
    <w:rsid w:val="004B1C61"/>
    <w:rsid w:val="004D606D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77561"/>
    <w:rsid w:val="006B706A"/>
    <w:rsid w:val="006E2D39"/>
    <w:rsid w:val="0071657E"/>
    <w:rsid w:val="0075227F"/>
    <w:rsid w:val="00756433"/>
    <w:rsid w:val="007611CC"/>
    <w:rsid w:val="007764B2"/>
    <w:rsid w:val="007A363C"/>
    <w:rsid w:val="007A692F"/>
    <w:rsid w:val="007B181C"/>
    <w:rsid w:val="007C4A80"/>
    <w:rsid w:val="007D35A7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9A7D58"/>
    <w:rsid w:val="00A0007E"/>
    <w:rsid w:val="00A0582B"/>
    <w:rsid w:val="00A12C32"/>
    <w:rsid w:val="00A339DC"/>
    <w:rsid w:val="00A47C64"/>
    <w:rsid w:val="00A74597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44A68"/>
    <w:rsid w:val="00C51020"/>
    <w:rsid w:val="00C56B9B"/>
    <w:rsid w:val="00C81348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5300"/>
    <w:rsid w:val="00F33C72"/>
    <w:rsid w:val="00F55982"/>
    <w:rsid w:val="00F80D13"/>
    <w:rsid w:val="00F849BC"/>
    <w:rsid w:val="00FC1B19"/>
    <w:rsid w:val="00FC409F"/>
    <w:rsid w:val="00FD5AEE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6545</Words>
  <Characters>37308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MB50</cp:lastModifiedBy>
  <cp:revision>15</cp:revision>
  <cp:lastPrinted>2024-02-26T10:34:00Z</cp:lastPrinted>
  <dcterms:created xsi:type="dcterms:W3CDTF">2025-04-29T07:31:00Z</dcterms:created>
  <dcterms:modified xsi:type="dcterms:W3CDTF">2025-10-24T06:14:00Z</dcterms:modified>
</cp:coreProperties>
</file>