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6BCA">
      <w:pPr>
        <w:pStyle w:val="1"/>
      </w:pPr>
      <w:hyperlink r:id="rId5" w:history="1">
        <w:r>
          <w:rPr>
            <w:rStyle w:val="a4"/>
            <w:b/>
            <w:bCs/>
          </w:rPr>
          <w:t>Указ Главы Республики Саха (Якутия) от 15 декабря 2017 г. N 2279</w:t>
        </w:r>
        <w:r>
          <w:rPr>
            <w:rStyle w:val="a4"/>
            <w:b/>
            <w:bCs/>
          </w:rPr>
          <w:br/>
          <w:t>"О государственной программе Республики Саха (Якутия) "Развитие креативной экономики и туризма в Республике Саха (Якутия) на 2018 - 2022 годы"</w:t>
        </w:r>
      </w:hyperlink>
    </w:p>
    <w:p w:rsidR="00000000" w:rsidRDefault="00986BCA"/>
    <w:p w:rsidR="00000000" w:rsidRDefault="00986BCA">
      <w:r>
        <w:t xml:space="preserve">В соответствии с </w:t>
      </w:r>
      <w:hyperlink r:id="rId6" w:history="1">
        <w:r>
          <w:rPr>
            <w:rStyle w:val="a4"/>
          </w:rPr>
          <w:t>Указом</w:t>
        </w:r>
      </w:hyperlink>
      <w:r>
        <w:t xml:space="preserve"> Главы Республики Саха (Якутия) от 04 июля 2016 г. N 1255 "Об утверждении Перечня государственных программ Республики Саха (Якутия)", </w:t>
      </w:r>
      <w:hyperlink r:id="rId7" w:history="1">
        <w:r>
          <w:rPr>
            <w:rStyle w:val="a4"/>
          </w:rPr>
          <w:t>Указом</w:t>
        </w:r>
      </w:hyperlink>
      <w:r>
        <w:t xml:space="preserve"> Главы Республики Сах</w:t>
      </w:r>
      <w:r>
        <w:t>а (Якутия) от 14 августа 2017 г. N 2076 "О Порядке разработки и реализации государственных программ Республики Саха (Якутия), предлагаемых к реализации с 2018 года":</w:t>
      </w:r>
    </w:p>
    <w:p w:rsidR="00000000" w:rsidRDefault="00986BCA">
      <w:bookmarkStart w:id="0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государственную программу</w:t>
        </w:r>
      </w:hyperlink>
      <w:r>
        <w:t xml:space="preserve"> Республи</w:t>
      </w:r>
      <w:r>
        <w:t>ки Саха (Якутия) "Развитие креативной экономики и туризма в Республике Саха (Якутия) на 2018 - 2020 годы".</w:t>
      </w:r>
    </w:p>
    <w:p w:rsidR="00000000" w:rsidRDefault="00986BCA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000000" w:rsidRDefault="00986BCA">
      <w:r>
        <w:fldChar w:fldCharType="begin"/>
      </w:r>
      <w:r>
        <w:instrText>HYPERLINK "garantF1://26627471.0"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Республики Саха (Якутия) от 12 октября 2011 N </w:t>
      </w:r>
      <w:r>
        <w:t>978 "О государственной программе Республики Саха (Якутия) "Развитие внутреннего и въездного туризма на территории Республики Саха (Якутия) на 2012 - 2019 годы".</w:t>
      </w:r>
    </w:p>
    <w:bookmarkStart w:id="3" w:name="sub_22"/>
    <w:bookmarkEnd w:id="2"/>
    <w:p w:rsidR="00000000" w:rsidRDefault="00986BCA">
      <w:r>
        <w:fldChar w:fldCharType="begin"/>
      </w:r>
      <w:r>
        <w:instrText>HYPERLINK "garantF1://26633792.0"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Республики Саха (Якутия) от 31 </w:t>
      </w:r>
      <w:r>
        <w:t xml:space="preserve">августа 2012 г. N 1620 "О внесении изменений в Указ Президента Республики Саха (Якутия) от 12 октября 2011 года N 978 "О государственной программе Республики Саха (Якутия) "Развитие внутреннего и въездного туризма на территории Республики Саха (Якутия) на </w:t>
      </w:r>
      <w:r>
        <w:t>2012 - 2016 годы".</w:t>
      </w:r>
    </w:p>
    <w:bookmarkStart w:id="4" w:name="sub_23"/>
    <w:bookmarkEnd w:id="3"/>
    <w:p w:rsidR="00000000" w:rsidRDefault="00986BCA">
      <w:r>
        <w:fldChar w:fldCharType="begin"/>
      </w:r>
      <w:r>
        <w:instrText>HYPERLINK "garantF1://26636961.0"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Республики Саха (Якутия) от 29 декабря 2012 г. N 1823 "О внесении изменений в Указ Президента Республики Саха (Якутия) от 12 октября 2011 года N 978 "О государственной прогр</w:t>
      </w:r>
      <w:r>
        <w:t>амме Республики Саха (Якутия) "Развитие внутреннего и въездного туризма на территории Республики Саха (Якутия) на 2012 - 2016 годы".</w:t>
      </w:r>
    </w:p>
    <w:bookmarkStart w:id="5" w:name="sub_24"/>
    <w:bookmarkEnd w:id="4"/>
    <w:p w:rsidR="00000000" w:rsidRDefault="00986BCA">
      <w:r>
        <w:fldChar w:fldCharType="begin"/>
      </w:r>
      <w:r>
        <w:instrText>HYPERLINK "garantF1://26638744.0"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Республики Саха (Якутия) от 08 апреля 2013 г. N 2003 "О вне</w:t>
      </w:r>
      <w:r>
        <w:t>сении изменений в Указ Президента Республики Саха (Якутия) от 12 октября 2011 года N 978 "О государственной программе Республики Саха (Якутия) "Развитие внутреннего и въездного туризма на территории Республики Саха (Якутия) на 2012 - 2016 годы".</w:t>
      </w:r>
    </w:p>
    <w:bookmarkStart w:id="6" w:name="sub_25"/>
    <w:bookmarkEnd w:id="5"/>
    <w:p w:rsidR="00000000" w:rsidRDefault="00986BCA">
      <w:r>
        <w:fldChar w:fldCharType="begin"/>
      </w:r>
      <w:r>
        <w:instrText>HYPERLINK "garantF1://26643699.0"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Республики Саха (Якутия) от 29 ноября 2013 г. N 2342 "О внесении изменений в Указ Президента Республики Саха (Якутия) от 12 октября 2011 года N 978 "О государственной программе Республики Саха (Якутия) </w:t>
      </w:r>
      <w:r>
        <w:t>"Развитие внутреннего и въездного туризма на территории Республики Саха (Якутия) на 2012 - 2016 годы".</w:t>
      </w:r>
    </w:p>
    <w:bookmarkStart w:id="7" w:name="sub_26"/>
    <w:bookmarkEnd w:id="6"/>
    <w:p w:rsidR="00000000" w:rsidRDefault="00986BCA">
      <w:r>
        <w:fldChar w:fldCharType="begin"/>
      </w:r>
      <w:r>
        <w:instrText>HYPERLINK "garantF1://26647919.0"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Главы Республики Саха (Якутия) от 02 июня 2014 N 2690 "О внесении изменений в Указ Президента Респуб</w:t>
      </w:r>
      <w:r>
        <w:t>лики Саха (Якутия) от 12 октября 2011 года N 978 "О государственной программе Республики Саха (Якутия) "Развитие внутреннего и въездного туризма на территории Республики Саха (Якутия) на 2012 - 2016 годы".</w:t>
      </w:r>
    </w:p>
    <w:bookmarkStart w:id="8" w:name="sub_27"/>
    <w:bookmarkEnd w:id="7"/>
    <w:p w:rsidR="00000000" w:rsidRDefault="00986BCA">
      <w:r>
        <w:fldChar w:fldCharType="begin"/>
      </w:r>
      <w:r>
        <w:instrText>HYPERLINK "garantF1://26655100.0"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Главы Республики Саха (Якутия) от 30 апреля 2015 г. N 472 "О внесении изменений в Указ Президента Республики Саха (Якутия) от 12 октября 2011 года N 978 "О государственной программе Республики Саха (Якутия) "Развитие внутреннего и въездного туризма на т</w:t>
      </w:r>
      <w:r>
        <w:t>ерритории Республики Саха (Якутия) на 2012 - 2017 годы".</w:t>
      </w:r>
    </w:p>
    <w:bookmarkStart w:id="9" w:name="sub_28"/>
    <w:bookmarkEnd w:id="8"/>
    <w:p w:rsidR="00000000" w:rsidRDefault="00986BCA">
      <w:r>
        <w:fldChar w:fldCharType="begin"/>
      </w:r>
      <w:r>
        <w:instrText>HYPERLINK "garantF1://26657805.0"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Главы Республики Саха (Якутия) от 24 сентября 2015 N 674 "О внесении изменений в Указ Президента Республики Саха (Якутия) от 12 октября 2011 года </w:t>
      </w:r>
      <w:r>
        <w:t>N 978 "О государственной программе Республики Саха (Якутия) "Развитие внутреннего и въездного туризма на территории Республики Саха (Якутия) на 2012 - 2017 годы".</w:t>
      </w:r>
    </w:p>
    <w:bookmarkStart w:id="10" w:name="sub_29"/>
    <w:bookmarkEnd w:id="9"/>
    <w:p w:rsidR="00000000" w:rsidRDefault="00986BCA">
      <w:r>
        <w:fldChar w:fldCharType="begin"/>
      </w:r>
      <w:r>
        <w:instrText>HYPERLINK "garantF1://48050440.0"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Главы Республики Саха (Якутия) от 08 июн</w:t>
      </w:r>
      <w:r>
        <w:t xml:space="preserve">я 2016 г. N 1192 "О внесении </w:t>
      </w:r>
      <w:r>
        <w:lastRenderedPageBreak/>
        <w:t>изменений в Указ Президента Республики Саха (Якутия) от 12 октября 2011 года N 978 "О государственной программе Республики Саха (Якутия) "Развитие внутреннего и въездного туризма на территории Республики Саха (Якутия) на 2012 -</w:t>
      </w:r>
      <w:r>
        <w:t> 2019 годы".</w:t>
      </w:r>
    </w:p>
    <w:bookmarkStart w:id="11" w:name="sub_30"/>
    <w:bookmarkEnd w:id="10"/>
    <w:p w:rsidR="00000000" w:rsidRDefault="00986BCA">
      <w:r>
        <w:fldChar w:fldCharType="begin"/>
      </w:r>
      <w:r>
        <w:instrText>HYPERLINK "garantF1://48061942.0"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Главы Республики Саха (Якутия) от 24 марта 2017 г. N 1815 "О внесении изменений в государственную программу Республики Саха (Якутия) от 12 октября 2011 года N 978 "Развитие внутреннего и въе</w:t>
      </w:r>
      <w:r>
        <w:t>здного туризма на территории Республики Саха (Якутия) на 2012 - 2019 годы".</w:t>
      </w:r>
    </w:p>
    <w:p w:rsidR="00000000" w:rsidRDefault="00986BCA">
      <w:bookmarkStart w:id="12" w:name="sub_3"/>
      <w:bookmarkEnd w:id="11"/>
      <w:r>
        <w:t>3. Контроль исполнения настоящего Указа возложить на первого заместителя Председателя Правительства Республики Саха (Якутия) - министра экономики Осипова М.А.</w:t>
      </w:r>
    </w:p>
    <w:p w:rsidR="00000000" w:rsidRDefault="00986BCA">
      <w:bookmarkStart w:id="13" w:name="sub_4"/>
      <w:bookmarkEnd w:id="12"/>
      <w:r>
        <w:t>4. Настоящий Указ вступает в силу с 01 января 2018 года.</w:t>
      </w:r>
    </w:p>
    <w:p w:rsidR="00000000" w:rsidRDefault="00986BCA">
      <w:bookmarkStart w:id="14" w:name="sub_5"/>
      <w:bookmarkEnd w:id="13"/>
      <w:r>
        <w:t xml:space="preserve">5. </w:t>
      </w:r>
      <w:hyperlink r:id="rId8" w:history="1">
        <w:r>
          <w:rPr>
            <w:rStyle w:val="a4"/>
          </w:rPr>
          <w:t>Опубликовать</w:t>
        </w:r>
      </w:hyperlink>
      <w:r>
        <w:t xml:space="preserve"> настоящий Указ в официальных средствах массовой информации Республики Саха (Якутия).</w:t>
      </w:r>
    </w:p>
    <w:bookmarkEnd w:id="14"/>
    <w:p w:rsidR="00000000" w:rsidRDefault="00986BC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Глава</w:t>
            </w:r>
            <w:r w:rsidRPr="00986BCA">
              <w:rPr>
                <w:rFonts w:eastAsiaTheme="minorEastAsia"/>
              </w:rPr>
              <w:br/>
              <w:t>Республики Саха (Якутия)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jc w:val="right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Е. Борисов</w:t>
            </w:r>
          </w:p>
        </w:tc>
      </w:tr>
    </w:tbl>
    <w:p w:rsidR="00000000" w:rsidRDefault="00986BCA"/>
    <w:p w:rsidR="00000000" w:rsidRDefault="00986BCA">
      <w:pPr>
        <w:pStyle w:val="a9"/>
      </w:pPr>
      <w:r>
        <w:t>г.</w:t>
      </w:r>
      <w:r>
        <w:t> Якутск</w:t>
      </w:r>
    </w:p>
    <w:p w:rsidR="00000000" w:rsidRDefault="00986BCA">
      <w:pPr>
        <w:pStyle w:val="a9"/>
      </w:pPr>
      <w:r>
        <w:t>15 декабря 2017 года</w:t>
      </w:r>
    </w:p>
    <w:p w:rsidR="00000000" w:rsidRDefault="00986BCA">
      <w:pPr>
        <w:pStyle w:val="a9"/>
      </w:pPr>
      <w:r>
        <w:t>N 2279</w:t>
      </w:r>
    </w:p>
    <w:p w:rsidR="00000000" w:rsidRDefault="00986BCA"/>
    <w:p w:rsidR="00000000" w:rsidRDefault="00986BCA">
      <w:pPr>
        <w:ind w:firstLine="0"/>
        <w:jc w:val="right"/>
      </w:pPr>
      <w:bookmarkStart w:id="15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Республики Саха (Якутия)</w:t>
      </w:r>
      <w:r>
        <w:rPr>
          <w:rStyle w:val="a3"/>
        </w:rPr>
        <w:br/>
        <w:t>от 15 декабря 2017 г. N 2279</w:t>
      </w:r>
    </w:p>
    <w:bookmarkEnd w:id="15"/>
    <w:p w:rsidR="00000000" w:rsidRDefault="00986BCA"/>
    <w:p w:rsidR="00000000" w:rsidRDefault="00986BCA">
      <w:pPr>
        <w:pStyle w:val="1"/>
      </w:pPr>
      <w:r>
        <w:t>Государственная программа</w:t>
      </w:r>
      <w:r>
        <w:br/>
        <w:t>Республики Саха (Якутия) "Развитие креативной экономики и туризма в Республ</w:t>
      </w:r>
      <w:r>
        <w:t>ике Саха (Якутия) на 2018 - 2022 годы"</w:t>
      </w:r>
    </w:p>
    <w:p w:rsidR="00000000" w:rsidRDefault="00986BCA"/>
    <w:p w:rsidR="00000000" w:rsidRDefault="00986BCA">
      <w:pPr>
        <w:pStyle w:val="a6"/>
        <w:rPr>
          <w:color w:val="000000"/>
          <w:sz w:val="16"/>
          <w:szCs w:val="16"/>
        </w:rPr>
      </w:pPr>
      <w:bookmarkStart w:id="16" w:name="sub_10100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986BCA">
      <w:pPr>
        <w:pStyle w:val="a7"/>
      </w:pPr>
      <w:r>
        <w:t xml:space="preserve">Паспорт изменен с 23 марта 2018 г. - </w:t>
      </w:r>
      <w:hyperlink r:id="rId9" w:history="1">
        <w:r>
          <w:rPr>
            <w:rStyle w:val="a4"/>
          </w:rPr>
          <w:t>Указ</w:t>
        </w:r>
      </w:hyperlink>
      <w:r>
        <w:t xml:space="preserve"> Главы Республики Саха (Якутия) от 22 марта 2018 г. N 2467</w:t>
      </w:r>
    </w:p>
    <w:p w:rsidR="00000000" w:rsidRDefault="00986BCA">
      <w:pPr>
        <w:pStyle w:val="a7"/>
      </w:pPr>
      <w:hyperlink r:id="rId10" w:history="1">
        <w:r>
          <w:rPr>
            <w:rStyle w:val="a4"/>
          </w:rPr>
          <w:t>См. предыдущую редакцию</w:t>
        </w:r>
      </w:hyperlink>
    </w:p>
    <w:p w:rsidR="00000000" w:rsidRDefault="00986BCA">
      <w:pPr>
        <w:pStyle w:val="1"/>
      </w:pPr>
      <w:r>
        <w:t>Паспорт</w:t>
      </w:r>
      <w:r>
        <w:br/>
        <w:t>государственной программы Республики Саха (Якутия)</w:t>
      </w:r>
    </w:p>
    <w:p w:rsidR="00000000" w:rsidRDefault="00986B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7000"/>
      </w:tblGrid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Наименование государственной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Развитие креативной экономики и туризма в Республике Саха (Якутия) на 2018 - 2022 годы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Ответственный исполнитель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инвестиционного развития и предпринимательства Республики Саха (Якутия)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Соисполнители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связи и информационных технологий Республики Саха (Якутия);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промышленности и геологии Республики Саха (Якутия)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Подпрограммы Программы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hyperlink w:anchor="sub_101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1</w:t>
              </w:r>
            </w:hyperlink>
            <w:r w:rsidRPr="00986BCA">
              <w:rPr>
                <w:rFonts w:eastAsiaTheme="minorEastAsia"/>
              </w:rPr>
              <w:t xml:space="preserve"> "Развитие отрасли информационных технологий в Республике Саха (Якутия)".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hyperlink w:anchor="sub_102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2</w:t>
              </w:r>
            </w:hyperlink>
            <w:r w:rsidRPr="00986BCA">
              <w:rPr>
                <w:rFonts w:eastAsiaTheme="minorEastAsia"/>
              </w:rPr>
              <w:t xml:space="preserve"> "Защита и продвижение имиджевой продукции Республики Саха (Якутия)".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hyperlink w:anchor="sub_103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3</w:t>
              </w:r>
            </w:hyperlink>
            <w:r w:rsidRPr="00986BCA">
              <w:rPr>
                <w:rFonts w:eastAsiaTheme="minorEastAsia"/>
              </w:rPr>
              <w:t xml:space="preserve"> "Развитие туристской индустрии в Республике Саха (Якутия)".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hyperlink w:anchor="sub_104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4</w:t>
              </w:r>
            </w:hyperlink>
            <w:r w:rsidRPr="00986BCA">
              <w:rPr>
                <w:rFonts w:eastAsiaTheme="minorEastAsia"/>
              </w:rPr>
              <w:t xml:space="preserve"> "Туристко-рекреационный комплекс"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986BCA" w:rsidRDefault="00986BCA">
            <w:pPr>
              <w:pStyle w:val="a6"/>
              <w:rPr>
                <w:rFonts w:eastAsiaTheme="minorEastAsia"/>
                <w:color w:val="000000"/>
                <w:sz w:val="16"/>
                <w:szCs w:val="16"/>
              </w:rPr>
            </w:pPr>
            <w:r w:rsidRPr="00986BCA">
              <w:rPr>
                <w:rFonts w:eastAsiaTheme="minorEastAsia"/>
                <w:color w:val="000000"/>
                <w:sz w:val="16"/>
                <w:szCs w:val="16"/>
              </w:rPr>
              <w:lastRenderedPageBreak/>
              <w:t>ГАРАНТ:</w:t>
            </w:r>
          </w:p>
          <w:p w:rsidR="00000000" w:rsidRPr="00986BCA" w:rsidRDefault="00986BCA">
            <w:pPr>
              <w:pStyle w:val="a6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По-видимому, в тексте настоящей позиции допущена опечатка. Название названной </w:t>
            </w:r>
            <w:hyperlink w:anchor="sub_104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подпрограммы N 4</w:t>
              </w:r>
            </w:hyperlink>
            <w:r w:rsidRPr="00986BCA">
              <w:rPr>
                <w:rFonts w:eastAsiaTheme="minorEastAsia"/>
              </w:rPr>
              <w:t xml:space="preserve"> следует читать как "Туристско-рекреационный комплекс"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Цель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Формирование новых отраслей "умной экономики" Республики Саха (Якутия) на основе развития ИТ-отрасли, креативной индустрии, индустрии гостеприимства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Задачи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1. Создание условий для формирования ИТ-сектора.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2. Развитие конкурентоспособных региональных брендов.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3. Формирование туристского имиджа в Республике Саха (Якутия).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4. Комплексное развитие внутреннего и въездного туризма с учетом обеспечения экономического и социокультурного прогресса в Республике Саха </w:t>
            </w:r>
            <w:r w:rsidRPr="00986BCA">
              <w:rPr>
                <w:rFonts w:eastAsiaTheme="minorEastAsia"/>
              </w:rPr>
              <w:t>(Якутия).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Целевые показатели (индикаторы)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1. Доля ИТ-отрасли в ВРП: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- 0,25%;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- 0,35%;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- 0,45%;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- 0,55%;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- 0,67%.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2. Регистрация торговых марок: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- 1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- 2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- 3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- 4 ед.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3. Общий туристский поток: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- 205 тыс. чел.;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- 206 тыс. чел.;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- 206,5 тыс. чел.;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- 207 тыс. чел.;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- 207,9 тыс. чел.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4. Объем платных туристических услуг: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- 843 млн рубл</w:t>
            </w:r>
            <w:r w:rsidRPr="00986BCA">
              <w:rPr>
                <w:rFonts w:eastAsiaTheme="minorEastAsia"/>
              </w:rPr>
              <w:t>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- 978 млн 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- 993 млн 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- 1007 млн 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- 1023 млн рублей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Сроки реализации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2018 - 2022 годы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bookmarkStart w:id="17" w:name="sub_1098"/>
            <w:r w:rsidRPr="00986BCA">
              <w:rPr>
                <w:rFonts w:eastAsiaTheme="minorEastAsia"/>
              </w:rPr>
              <w:t>Объем финансового обеспечения Программы</w:t>
            </w:r>
            <w:bookmarkEnd w:id="1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Объемы финансового обеспечения в целом на реализацию Программы - 341 089,08 тыс. рублей, в том числе: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- 271 714,23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- 16 594,23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- 16 594,23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2021 год - 17 748,82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- 18 437</w:t>
            </w:r>
            <w:r w:rsidRPr="00986BCA">
              <w:rPr>
                <w:rFonts w:eastAsiaTheme="minorEastAsia"/>
              </w:rPr>
              <w:t>,57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а) за счет средств государственного бюджета Республики Саха (Якутия) - 81 219,08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- 15 644,23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- 15 644,23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- 15 644,23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- 16 798,82 </w:t>
            </w:r>
            <w:r w:rsidRPr="00986BCA">
              <w:rPr>
                <w:rFonts w:eastAsiaTheme="minorEastAsia"/>
              </w:rPr>
              <w:t>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- 17 487,57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б) за счет средств федерального бюджета - 0,00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- 0,00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в) за счет средств местных бюджетов - 1 875,00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- 375,00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- 375,00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- 375,00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- 375,00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- 375,00 тыс</w:t>
            </w:r>
            <w:r w:rsidRPr="00986BCA">
              <w:rPr>
                <w:rFonts w:eastAsiaTheme="minorEastAsia"/>
              </w:rPr>
              <w:t>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г) за счет внебюджетных средств - 257 995,00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- 255 695,00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- 575,00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- 575,00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- 575,00 тыс. 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- 575,00 тыс. рублей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Ожидаем</w:t>
            </w:r>
            <w:r w:rsidRPr="00986BCA">
              <w:rPr>
                <w:rFonts w:eastAsiaTheme="minorEastAsia"/>
              </w:rPr>
              <w:t>ые результаты реализации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Ожидаемые результаты реализации Программы к 2022 году: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Рост доли ИТ-отрасли в ВРП до 0,67%.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Регистрация 4 ед. торговых марок.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Увеличение туристского потока до 207,9 тыс. чел.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Увеличение объема платных туристических услуг до 1007 млн рублей</w:t>
            </w:r>
          </w:p>
        </w:tc>
      </w:tr>
    </w:tbl>
    <w:p w:rsidR="00000000" w:rsidRDefault="00986BCA"/>
    <w:p w:rsidR="00000000" w:rsidRDefault="00986BCA">
      <w:pPr>
        <w:pStyle w:val="1"/>
      </w:pPr>
      <w:bookmarkStart w:id="18" w:name="sub_1010"/>
      <w:r>
        <w:t>Паспорт подпрограммы N 1</w:t>
      </w:r>
    </w:p>
    <w:bookmarkEnd w:id="18"/>
    <w:p w:rsidR="00000000" w:rsidRDefault="00986B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7000"/>
      </w:tblGrid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Наименование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Развитие отрасли информационных технологий в Республике Саха (Якутия)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Ответственный исполнитель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</w:t>
            </w:r>
            <w:r w:rsidRPr="00986BCA">
              <w:rPr>
                <w:rFonts w:eastAsiaTheme="minorEastAsia"/>
              </w:rPr>
              <w:t>о инвестиционного развития и предпринимательства Республики Саха (Якутия);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Соисполнитель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связи и информационных технологий Республики Саха (Якутия)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Участники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Цель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Создание условий для формирования ИТ-сектора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Задачи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1. Развитие механизмов поддержки ИТ-отрасли.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2. Создание условий для продвижения региональных IT-продуктов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Целевые показатели (индикаторы)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1. Количество предоставленных грантов</w:t>
            </w:r>
            <w:r w:rsidRPr="00986BCA">
              <w:rPr>
                <w:rFonts w:eastAsiaTheme="minorEastAsia"/>
              </w:rPr>
              <w:t xml:space="preserve"> местным ИТ-компаниям: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не менее 5;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не менее 5;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не менее 5;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не менее 5;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не менее 5.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2. Проведение республиканского конкурса "Моя профессия ИТ".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3. Проведение конференции E-Yakutia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Сроки реализации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2018 - 2022 годы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Объем финансового обеспечения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Объемы финансового обеспечения в целом на реализацию подпрограммы - 22 310,11 тыс. рублей, в том числе: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- 4 158,23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- 4 158,23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- 4 158,23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- 4 818,92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- 5 016,50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а) за счет средств государственного бюджета Республики Саха (Якутия) - 22 310,11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- 4 158,23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- 4 158,23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- 4 158,23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- 4 818,92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- 5 016,50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б) за счет средств федерального бюджета - 0,00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- 0,00 тыс. ру</w:t>
            </w:r>
            <w:r w:rsidRPr="00986BCA">
              <w:rPr>
                <w:rFonts w:eastAsiaTheme="minorEastAsia"/>
              </w:rPr>
              <w:t>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в) за счет средств местных бюджетов - 0,00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- 0</w:t>
            </w:r>
            <w:r w:rsidRPr="00986BCA">
              <w:rPr>
                <w:rFonts w:eastAsiaTheme="minorEastAsia"/>
              </w:rPr>
              <w:t>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г) за счет внебюджетных средств - 0,00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2021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- 0,00 тыс. руб.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Проведение ежегодного республиканского конкурса "Моя профессия ИТ".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Не менее 25 предоставленных грантов местным ИТ-компаниям.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Проведение ежегодной конференции E-Yakutia</w:t>
            </w:r>
          </w:p>
        </w:tc>
      </w:tr>
    </w:tbl>
    <w:p w:rsidR="00000000" w:rsidRDefault="00986BCA"/>
    <w:p w:rsidR="00000000" w:rsidRDefault="00986BCA">
      <w:pPr>
        <w:pStyle w:val="1"/>
      </w:pPr>
      <w:bookmarkStart w:id="19" w:name="sub_1020"/>
      <w:r>
        <w:t>Паспорт подпрограммы N 2</w:t>
      </w:r>
    </w:p>
    <w:bookmarkEnd w:id="19"/>
    <w:p w:rsidR="00000000" w:rsidRDefault="00986B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7000"/>
      </w:tblGrid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Наименование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Защита и продвижение имиджевой продукции Республики Саха (Якутия)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промышленности и геологии Республики Саха (Якутия)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Участники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Цель подпрограммы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Развитие конкурентоспособных региональных брендов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Задачи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Формирование механизмов защиты и продвижения имиджевой продукции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Целевые показатели (индикаторы)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Регистрация торговых марок: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- 1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- 2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- 3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- 4 ед.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Сроки реализации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2018 - 2022 годы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Объем финансового обеспечения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Объемы финансового обеспечения в целом на реализацию подпрограммы - 0,00 тыс. рублей, в том ч</w:t>
            </w:r>
            <w:r w:rsidRPr="00986BCA">
              <w:rPr>
                <w:rFonts w:eastAsiaTheme="minorEastAsia"/>
              </w:rPr>
              <w:t>исле: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а) за счет средств государственного бюджета Республики Саха (Якутия) - 0,00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б) за счет средств федерального бюджета - 0,00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</w:t>
            </w:r>
            <w:r w:rsidRPr="00986BCA">
              <w:rPr>
                <w:rFonts w:eastAsiaTheme="minorEastAsia"/>
              </w:rPr>
              <w:t>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2022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в) за счет средств местных бюджетов - 0,00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</w:t>
            </w:r>
            <w:r w:rsidRPr="00986BCA">
              <w:rPr>
                <w:rFonts w:eastAsiaTheme="minorEastAsia"/>
              </w:rPr>
              <w:t>021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г) за счет внебюджетных средств - 0,00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- 0,00 тыс. </w:t>
            </w:r>
            <w:r w:rsidRPr="00986BCA">
              <w:rPr>
                <w:rFonts w:eastAsiaTheme="minorEastAsia"/>
              </w:rPr>
              <w:t>руб.;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Ожидаемые результаты реализации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Регистрация 4 ед. торговых марок</w:t>
            </w:r>
          </w:p>
        </w:tc>
      </w:tr>
    </w:tbl>
    <w:p w:rsidR="00000000" w:rsidRDefault="00986BCA"/>
    <w:p w:rsidR="00000000" w:rsidRDefault="00986BCA">
      <w:pPr>
        <w:pStyle w:val="1"/>
      </w:pPr>
      <w:bookmarkStart w:id="20" w:name="sub_1030"/>
      <w:r>
        <w:t>Паспорт подпрограммы N 3</w:t>
      </w:r>
    </w:p>
    <w:bookmarkEnd w:id="20"/>
    <w:p w:rsidR="00000000" w:rsidRDefault="00986B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7000"/>
      </w:tblGrid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Наименование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Развитие туристской индустрии в Республике Саха (Якутия)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Ответственный исполнитель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инвестиционного развития и предпринимательства Республики Саха (Якутия)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Участники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Цель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Формирование туристского имиджа в Республике Саха (Якутия)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Задачи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1. Формирование и продвижение конкурентоспособных туристских продуктов Якутии, основанных на эксклюзивных преимуществах.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2. Создание комфортной среды пребывания туристов.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3. Совершенствование системы управления и учета в туристской индустрии.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Целевые пока</w:t>
            </w:r>
            <w:r w:rsidRPr="00986BCA">
              <w:rPr>
                <w:rFonts w:eastAsiaTheme="minorEastAsia"/>
              </w:rPr>
              <w:t>затели (индикаторы)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1. Ежегодное 100% выполнение государственного задания ГАУ "НТИЦ РС (Я)".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2. Количество участников программы субсидирования затрат гостиниц и объектов общественного питания на создание комфортной среды пребывания туриста: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</w:t>
            </w:r>
            <w:r w:rsidRPr="00986BCA">
              <w:rPr>
                <w:rFonts w:eastAsiaTheme="minorEastAsia"/>
              </w:rPr>
              <w:t>18 год - 2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- 2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- 4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- 4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- 5 ед.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3. Количество муниципальных специалистов администраций ответственных за развитие туризма: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- 1 чел;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- 2 чел;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- 3 чел;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2021 год - 4 чел;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- 5 чел.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Сроки реализации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2018 - 2022 годы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Объем финансового обеспечения подпрограммы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Объемы финансового обеспечения в целом на реализацию подпрограммы - 26 643,81 тыс. рублей, в том числе: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- 5 200,00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2019 год - </w:t>
            </w:r>
            <w:r w:rsidRPr="00986BCA">
              <w:rPr>
                <w:rFonts w:eastAsiaTheme="minorEastAsia"/>
              </w:rPr>
              <w:t>5 200,00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- 5 200,90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- 5 415,00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- 5 628,81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а) за счет средств государственного бюджета Республики Саха (Якутия) - 25 643,81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- 5 000,00 тыс. ру</w:t>
            </w:r>
            <w:r w:rsidRPr="00986BCA">
              <w:rPr>
                <w:rFonts w:eastAsiaTheme="minorEastAsia"/>
              </w:rPr>
              <w:t>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- 5 000,00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- 5 000,00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- 5 215,00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- 5 428,81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б) за счет средств федерального бюджета - 0,00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- 0,00 </w:t>
            </w:r>
            <w:r w:rsidRPr="00986BCA">
              <w:rPr>
                <w:rFonts w:eastAsiaTheme="minorEastAsia"/>
              </w:rPr>
              <w:t>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в) за счет средств местных бюджетов - 0,00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2021 </w:t>
            </w:r>
            <w:r w:rsidRPr="00986BCA">
              <w:rPr>
                <w:rFonts w:eastAsiaTheme="minorEastAsia"/>
              </w:rPr>
              <w:t>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г) за счет внебюджетных средств - 1000,00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- 200,00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- 200,00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- 200,00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- 200,00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- 200</w:t>
            </w:r>
            <w:r w:rsidRPr="00986BCA">
              <w:rPr>
                <w:rFonts w:eastAsiaTheme="minorEastAsia"/>
              </w:rPr>
              <w:t>,00 тыс. руб.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Ожидаемые результаты реализации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Выполнение государственного задания ГАУ "НТИЦ РС (Я)".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 участников программ субсидирования затрат гостиниц и объектов общественного питания на создание комфортной среды пребывания туриста.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 муниципальных специалистов администраций, ответственных за развитие туризма</w:t>
            </w:r>
          </w:p>
        </w:tc>
      </w:tr>
    </w:tbl>
    <w:p w:rsidR="00000000" w:rsidRDefault="00986BCA"/>
    <w:p w:rsidR="00000000" w:rsidRDefault="00986BCA">
      <w:pPr>
        <w:pStyle w:val="a6"/>
        <w:rPr>
          <w:color w:val="000000"/>
          <w:sz w:val="16"/>
          <w:szCs w:val="16"/>
        </w:rPr>
      </w:pPr>
      <w:bookmarkStart w:id="21" w:name="sub_104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986BCA">
      <w:pPr>
        <w:pStyle w:val="a7"/>
      </w:pPr>
      <w:r>
        <w:t xml:space="preserve">Паспорт изменен с 23 марта 2018 г. - </w:t>
      </w:r>
      <w:hyperlink r:id="rId11" w:history="1">
        <w:r>
          <w:rPr>
            <w:rStyle w:val="a4"/>
          </w:rPr>
          <w:t>Указ</w:t>
        </w:r>
      </w:hyperlink>
      <w:r>
        <w:t xml:space="preserve"> Главы Республики Саха (Якутия) от 22 марта 2018 г. N </w:t>
      </w:r>
      <w:r>
        <w:t>2467</w:t>
      </w:r>
    </w:p>
    <w:p w:rsidR="00000000" w:rsidRDefault="00986BCA">
      <w:pPr>
        <w:pStyle w:val="a7"/>
      </w:pPr>
      <w:hyperlink r:id="rId12" w:history="1">
        <w:r>
          <w:rPr>
            <w:rStyle w:val="a4"/>
          </w:rPr>
          <w:t>См. предыдущую редакцию</w:t>
        </w:r>
      </w:hyperlink>
    </w:p>
    <w:p w:rsidR="00000000" w:rsidRDefault="00986BCA">
      <w:pPr>
        <w:pStyle w:val="1"/>
      </w:pPr>
      <w:r>
        <w:t>Паспорт подпрограммы N 4</w:t>
      </w:r>
    </w:p>
    <w:p w:rsidR="00000000" w:rsidRDefault="00986B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7000"/>
      </w:tblGrid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Наименование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Туристско-рекреационный комплекс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Ответственный исполнитель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инвестиционного развития и предпринимательства Рес</w:t>
            </w:r>
            <w:r w:rsidRPr="00986BCA">
              <w:rPr>
                <w:rFonts w:eastAsiaTheme="minorEastAsia"/>
              </w:rPr>
              <w:t>публики Саха (Якутия)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Цель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Комплексное развитие внутреннего и въездного туризма с учетом обеспечения экономического и социокультурного прогресса в Республике Саха (Якутия)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Участники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Задачи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1. Формирование доступного туристско-рекреационного комплекса Республики Саха (Якутия), в том числе на условиях государственно-частного партнерства для развития экологического, культурно-познавательного, событийного, промышленного, автотуризма (самодеятель</w:t>
            </w:r>
            <w:r w:rsidRPr="00986BCA">
              <w:rPr>
                <w:rFonts w:eastAsiaTheme="minorEastAsia"/>
              </w:rPr>
              <w:t>ного), детско-юношеского (в т.ч. его внедрение в образовательных учреждениях), социального туризма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Целевые показатели (индикаторы)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1. Объем платных туристических услуг: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- 843 млн 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- 978 млн 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2020 год - 993 млн </w:t>
            </w:r>
            <w:r w:rsidRPr="00986BCA">
              <w:rPr>
                <w:rFonts w:eastAsiaTheme="minorEastAsia"/>
              </w:rPr>
              <w:t>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- 1007 млн рублей;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- 1023 млн рублей.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2. Количество созданных туркомплексов: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- 3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- 3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- 3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- 3 ед.;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- 3 ед.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Сроки реализации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2018 - 2022 годы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bookmarkStart w:id="22" w:name="sub_30001"/>
            <w:r w:rsidRPr="00986BCA">
              <w:rPr>
                <w:rFonts w:eastAsiaTheme="minorEastAsia"/>
              </w:rPr>
              <w:t>Объем финансового обеспечения подпрограммы</w:t>
            </w:r>
            <w:bookmarkEnd w:id="2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Объемы финансового обеспечения в целом на реализацию подпрограммы - 292 135,16 тыс. рублей, в том числе: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- 262 356,00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- 7 236,00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- 7 236,00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</w:t>
            </w:r>
            <w:r w:rsidRPr="00986BCA">
              <w:rPr>
                <w:rFonts w:eastAsiaTheme="minorEastAsia"/>
              </w:rPr>
              <w:t xml:space="preserve"> год - 7 514,90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- 7 792,26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а) за счет средств государственного бюджета Республики Саха (Якутия) - 33 265,16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- 6 486,00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- 6 486,00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- 6 486,00 </w:t>
            </w:r>
            <w:r w:rsidRPr="00986BCA">
              <w:rPr>
                <w:rFonts w:eastAsiaTheme="minorEastAsia"/>
              </w:rPr>
              <w:t>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- 6 764,90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- 7 042,26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б) за счет средств федерального бюджета - 0,00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- 0,00 тыс.</w:t>
            </w:r>
            <w:r w:rsidRPr="00986BCA">
              <w:rPr>
                <w:rFonts w:eastAsiaTheme="minorEastAsia"/>
              </w:rPr>
              <w:t>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- 0,00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в) за счет средств местных бюджетов - 1 875,00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- 375,00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- 375,00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- 375,00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- 375,00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- 375,00 тыс. р</w:t>
            </w:r>
            <w:r w:rsidRPr="00986BCA">
              <w:rPr>
                <w:rFonts w:eastAsiaTheme="minorEastAsia"/>
              </w:rPr>
              <w:t>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г) за счет внебюджетных средств - 256 995,00 тыс. рублей, в том числе по годам: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 - 255 495,00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 - 375,00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 - 375,00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 - 375,00 тыс. руб.;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 - 375,00 тыс. руб.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Увеличение объема платных туристических услуг до 1023 млн рублей.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Создание 3 туристских комплексов Республики Саха (Якутия)</w:t>
            </w:r>
          </w:p>
        </w:tc>
      </w:tr>
    </w:tbl>
    <w:p w:rsidR="00000000" w:rsidRDefault="00986BCA"/>
    <w:p w:rsidR="00000000" w:rsidRDefault="00986BCA">
      <w:pPr>
        <w:pStyle w:val="1"/>
      </w:pPr>
      <w:bookmarkStart w:id="23" w:name="sub_1100"/>
      <w:r>
        <w:t xml:space="preserve">Раздел 1. Характеристика текущего состояния сферы реализации государственной </w:t>
      </w:r>
      <w:r>
        <w:t>программы, основные показатели и анализ социальных, финансово-экономических рисков</w:t>
      </w:r>
    </w:p>
    <w:bookmarkEnd w:id="23"/>
    <w:p w:rsidR="00000000" w:rsidRDefault="00986BCA"/>
    <w:p w:rsidR="00000000" w:rsidRDefault="00986BCA">
      <w:r>
        <w:t xml:space="preserve">Креативные и творческие подходы обеспечивают развитие технологий и общества, а интеллектуальный потенциал позволяет повысить не только экономическую эффективность, </w:t>
      </w:r>
      <w:r>
        <w:t>но и сформировать новый облик территории.</w:t>
      </w:r>
    </w:p>
    <w:p w:rsidR="00000000" w:rsidRDefault="00986BCA">
      <w:r>
        <w:t>Неизбежность изменения структуры национальной экономики ввиду перехода с сырьевого производства на производство знаний и информации предопределяет формирование нового сектора экономики - креативной экономики, "деят</w:t>
      </w:r>
      <w:r>
        <w:t>ельности, в основе которой лежит индивидуальное творческое начало, навык или талант, которая может создавать добавленную стоимость, рабочие места путем производства и эксплуатации интеллектуальной собственности".</w:t>
      </w:r>
    </w:p>
    <w:p w:rsidR="00000000" w:rsidRDefault="00986BCA">
      <w:r>
        <w:t>Общемировая и российская практика в классиф</w:t>
      </w:r>
      <w:r>
        <w:t>икацию креативных индустрий включает такие сферы, как:</w:t>
      </w:r>
    </w:p>
    <w:p w:rsidR="00000000" w:rsidRDefault="00986BCA">
      <w:r>
        <w:t>искусство и культура (фотография, киноиндустрия, визуальное искусство, исполнительское искусство, искусство и антиквариат, ремесла, литература, библиотеки, музеи, галереи, культурное наследие, аукционы</w:t>
      </w:r>
      <w:r>
        <w:t>, фестивали и культурные инициативы);</w:t>
      </w:r>
    </w:p>
    <w:p w:rsidR="00000000" w:rsidRDefault="00986BCA">
      <w:r>
        <w:t>дизайн (реклама, архитектура, интерьерный дизайн, графический дизайн, промышленный дизайн, мода, коммуникационный дизайн, дизайн среды, производство ювелирных изделий);</w:t>
      </w:r>
    </w:p>
    <w:p w:rsidR="00000000" w:rsidRDefault="00986BCA">
      <w:r>
        <w:t>медиа и коммуникации (издательское дело, телевиде</w:t>
      </w:r>
      <w:r>
        <w:t>ние и радио, реклама, фильмы и видео, звукозапись, СМИ, связи с общественностью);</w:t>
      </w:r>
    </w:p>
    <w:p w:rsidR="00000000" w:rsidRDefault="00986BCA">
      <w:r>
        <w:lastRenderedPageBreak/>
        <w:t>цифровые технологии (дизайн и проектирование веб-сайтов, дизайн и проектирование программного обеспечения, компьютерное программирование, дизайн приложений, ИТ-стратегии и пл</w:t>
      </w:r>
      <w:r>
        <w:t>анирование);</w:t>
      </w:r>
    </w:p>
    <w:p w:rsidR="00000000" w:rsidRDefault="00986BCA">
      <w:r>
        <w:t>организация событий (туристские, культурные, спортивные, деловые мероприятия).</w:t>
      </w:r>
    </w:p>
    <w:p w:rsidR="00000000" w:rsidRDefault="00986BCA">
      <w:r>
        <w:t>Сегодня в мире уже сформировались общепризнанные центры новых экономик и инноваций: Лондон, Нью-Йорк, Сан-Франциско, Сингапур, Токио. От 8 до 12% внутреннего валово</w:t>
      </w:r>
      <w:r>
        <w:t>го продукта в развитых странах формируется за счет креативного сектора, причем многие из стран сделали качественный рывок всего за 5 лет. Креативная индустрия становится мировым трендом в развитых странах.</w:t>
      </w:r>
    </w:p>
    <w:p w:rsidR="00000000" w:rsidRDefault="00986BCA">
      <w:r>
        <w:t>В Российской Федерации этот сектор находится в стадии зарождения. Опыт развития предпринимательского потенциала креативных индустрий имеется в нескольких крупных городах - Москва, Санкт-Петербург, Новосибирск, Краснодар, Екатеринбург, Казань и другие небол</w:t>
      </w:r>
      <w:r>
        <w:t>ьшие города с созданием творческо-креативных кластеров и пространств.</w:t>
      </w:r>
    </w:p>
    <w:p w:rsidR="00000000" w:rsidRDefault="00986BCA">
      <w:r>
        <w:t>Креативная экономика формирует не только творческую привлекательность территорий, но и создает благоприятный инвестиционный климат. Благодаря чему, к участию в развитии творческих индуст</w:t>
      </w:r>
      <w:r>
        <w:t>рий и созданию креативных кластеров вовлекается как малый и средний бизнес, так и крупные корпорации, увидевшие здесь широкие перспективы для получения прибыли.</w:t>
      </w:r>
    </w:p>
    <w:p w:rsidR="00000000" w:rsidRDefault="00986BCA">
      <w:r>
        <w:t>С развитием креативной экономики многие города в разы увеличили свою туристическую привлекатель</w:t>
      </w:r>
      <w:r>
        <w:t>ность. Новые объекты, инфраструктура, удобная для туристов, интересные события - это и многое другое позволяет привлекать внимание путешественников.</w:t>
      </w:r>
    </w:p>
    <w:p w:rsidR="00000000" w:rsidRDefault="00986BCA">
      <w:r>
        <w:t>В Республике Саха (Якутия), имеющей богатое наследие и традиции народного творчества, художественных промыс</w:t>
      </w:r>
      <w:r>
        <w:t>лов, прорывную киноиндустрию, стабильный событийный туризм, многолетнюю гранильно-ювелирную школу, культурную и инновационную инфраструктуру, пласт всех форматов масс-медиа, моделирование, дизайн одежды и многие другие сферы, создающие интеллектуальную соб</w:t>
      </w:r>
      <w:r>
        <w:t>ственность, созданы все предпосылки для активного роста креативной экономики.</w:t>
      </w:r>
    </w:p>
    <w:p w:rsidR="00000000" w:rsidRDefault="00986BCA">
      <w:r>
        <w:t>Одним из факторов развития креативной экономики является цивилизованный рынок интеллектуальной собственности. В республике, в настоящее время, ведется системная плановая работа п</w:t>
      </w:r>
      <w:r>
        <w:t>о созданию правовой базы научных изобретательских процессов, в том числе системы защиты авторских прав и охраны интеллектуальной собственности.</w:t>
      </w:r>
    </w:p>
    <w:p w:rsidR="00000000" w:rsidRDefault="00986BCA">
      <w:r>
        <w:t>Структура мировой торговли имеет устойчивую тенденцию к изменению в пользу доли рынка интеллектуальной собственн</w:t>
      </w:r>
      <w:r>
        <w:t>ости (в н.в. 15% ВВП). Доля коммерциализации интеллектуальной собственности, охраняемой патентами, в странах СНГ, по-прежнему ничтожна</w:t>
      </w:r>
      <w:hyperlink r:id="rId13" w:history="1">
        <w:r>
          <w:rPr>
            <w:rStyle w:val="a4"/>
            <w:shd w:val="clear" w:color="auto" w:fill="F0F0F0"/>
          </w:rPr>
          <w:t>#</w:t>
        </w:r>
      </w:hyperlink>
      <w:r>
        <w:t xml:space="preserve"> мала и составляет от 0,4% до 2%, в частности, в России из 270 тыс. действующих россий</w:t>
      </w:r>
      <w:r>
        <w:t xml:space="preserve">ских патентов продается около 2% (каждый второй патент при сроке действия в 20 лет прекращается через несколько лет его выдачи). Всего по Республике Саха (Якутия) в 2016 году на государственную регистрацию объектов промышленной собственности (далее - ОПС) </w:t>
      </w:r>
      <w:r>
        <w:t>в Роспатент было подано 217 заявок (в том числе 10 на промышленный образец), что на 7% больше, чем в 2015 году, при этом отмечается уменьшение количества заявок в отношении изобретений. В целом, рост активности в регионе по подаче заявок на ОПС наблюдается</w:t>
      </w:r>
      <w:r>
        <w:t xml:space="preserve"> с 2011 года.</w:t>
      </w:r>
    </w:p>
    <w:p w:rsidR="00000000" w:rsidRDefault="00986BCA">
      <w:r>
        <w:t>Несмотря на декларируемые уникальные особенности региона и культуры населяющего его населения, на территории республики не используются такие способы охраны результатов интеллектуальной деятельности как получение патента на промышленный образ</w:t>
      </w:r>
      <w:r>
        <w:t xml:space="preserve">ец, государственная регистрация наименования места </w:t>
      </w:r>
      <w:r>
        <w:lastRenderedPageBreak/>
        <w:t>происхождения товара. Во многих предприятиях и организациях отсутствует единая система управления жизненным циклом интеллектуальной собственности от отбора результатов интеллектуальной деятельности до комм</w:t>
      </w:r>
      <w:r>
        <w:t>ерциализации исключительных прав и работы отдела кадров и бухгалтерии по обеспечению мотивации авторов. Сохраняется высокий уровень правовой и экономической безграмотности по этим вопросам.</w:t>
      </w:r>
    </w:p>
    <w:p w:rsidR="00000000" w:rsidRDefault="00986BCA">
      <w:r>
        <w:t>Наличие стабильной динамики изобретательской активности не позволя</w:t>
      </w:r>
      <w:r>
        <w:t>ет констатировать удовлетворительное состояние охраны прав на результаты интеллектуальной деятельности юридических и физических лиц в Республике Саха (Якутия) и использование интеллектуальной собственности при формировании производств и товаропроводящих се</w:t>
      </w:r>
      <w:r>
        <w:t>тей, продукция многих предприятий остается не конкурентоспособной.</w:t>
      </w:r>
    </w:p>
    <w:p w:rsidR="00000000" w:rsidRDefault="00986BCA">
      <w:r>
        <w:t>Учитывая необходимость ограничений на сырьевые ресурсы, вытеснение рабочей силы из производственной сферы, растущий спрос на новые нематериальные и оригинальные материальные продукты, усиле</w:t>
      </w:r>
      <w:r>
        <w:t>ние национальной и глобальной конкуренции, развитие нового экономического сектора является объективным этапом социально-экономического развития Республики Саха (Якутия).</w:t>
      </w:r>
    </w:p>
    <w:p w:rsidR="00000000" w:rsidRDefault="00986BCA">
      <w:r>
        <w:t>Стратегия социально-экономического развития Республики Саха (Якутия) до 2030 года и це</w:t>
      </w:r>
      <w:r>
        <w:t>левое видение до 2050 года определяет целью развития креативной экономики обеспечение узнаваемости региона в глобальном масштабе, одним из инициативных центров мировой креативной индустрии, местом проведения международных креативных мероприятий, комфортным</w:t>
      </w:r>
      <w:r>
        <w:t xml:space="preserve"> пространством для деятельности творческих индивидов. Для воплощения поставленной цели предусмотрены две задачи:</w:t>
      </w:r>
    </w:p>
    <w:p w:rsidR="00000000" w:rsidRDefault="00986BCA">
      <w:r>
        <w:t>создание современной инфраструктуры с производственной площадкой; выставочным и конгрессными центрами, сопутствующей коммерческой инфраструктур</w:t>
      </w:r>
      <w:r>
        <w:t>ой, рекреационной зоной, торгово-общественным комплексом, инновационным жилым поселением;</w:t>
      </w:r>
    </w:p>
    <w:p w:rsidR="00000000" w:rsidRDefault="00986BCA">
      <w:r>
        <w:t xml:space="preserve">стимулирование развития отдельных сегментов отрасли креативной экономики (киноиндустрии, музыкального и сценического искусства, народных промыслов и ремесел, рекламы </w:t>
      </w:r>
      <w:r>
        <w:t>и издательского дела, дизайн и архитектуры, ИТ-отрасли, ювелирного дела, событийного туризма).</w:t>
      </w:r>
    </w:p>
    <w:p w:rsidR="00000000" w:rsidRDefault="00986BCA">
      <w:r>
        <w:t>В рамках данной Программы с аккумулированы механизмы поддержки и стимулирования предпринимателей, осуществляющих деятельность в наиболее креативных сферах эконом</w:t>
      </w:r>
      <w:r>
        <w:t>ики - ИТ-отрасль, ювелирная отрасль, туризм.</w:t>
      </w:r>
    </w:p>
    <w:p w:rsidR="00000000" w:rsidRDefault="00986BCA">
      <w:r>
        <w:t>На текущий момент отрасль информационных технологий в Республике Саха (Якутия) развивается преимущественно локально внутри региона. Число малых предприятий, деятельность которых связана с использованием вычислит</w:t>
      </w:r>
      <w:r>
        <w:t>ельной техники и информационных технологий составляет 584 компании, из них две компании обладают компетенциями мирового уровня (ООО "Майтона", группа компаний "Синет"). Также стоит отметить компанию ООО "Инфосистемы", являющейся крупной ИТ-компанией в респ</w:t>
      </w:r>
      <w:r>
        <w:t>ублике, ведущей деятельность в области системной интеграции и защиты информации.</w:t>
      </w:r>
    </w:p>
    <w:p w:rsidR="00000000" w:rsidRDefault="00986BCA">
      <w:r>
        <w:t>В республике зарегистрировано индивидуальных предпринимателей по данным видам деятельности свыше 5 тысяч граждан. Наибольшее количество индивидуальных предпринимателей в данно</w:t>
      </w:r>
      <w:r>
        <w:t>й сфере зарегистрировано в городе Якутске - 2404 ед., в Нерюнгринском районе - 776 ед., Мирнинском - 546 ед., Ленском - 422 ед. В арктической и северной группе улусов в данной категории осуществляют деятельность: 167 ед. индивидуальных предпринимателей в У</w:t>
      </w:r>
      <w:r>
        <w:t>сть-Янском улусе, 127 ед. - в Верхоянском улусе.</w:t>
      </w:r>
    </w:p>
    <w:p w:rsidR="00000000" w:rsidRDefault="00986BCA">
      <w:r>
        <w:lastRenderedPageBreak/>
        <w:t>Среднесписочная численность работников малых предприятий, деятельность которых связана с использованием вычислительной техники и информационных технологий составила за 2016 год 1119 человек, за 2015 год 1042</w:t>
      </w:r>
      <w:r>
        <w:t xml:space="preserve"> человек.</w:t>
      </w:r>
    </w:p>
    <w:p w:rsidR="00000000" w:rsidRDefault="00986BCA">
      <w:r>
        <w:t>Среднемесячная номинальная начисленная заработная плата работников малых предприятий, деятельность которых связана с использованием вычислительной техники и информационных технологий составила за 2015 год 38 473,7 руб., рост на 17,2% к 2014 году.</w:t>
      </w:r>
    </w:p>
    <w:p w:rsidR="00000000" w:rsidRDefault="00986BCA">
      <w:r>
        <w:t>Динамика уплаты налогов и сборов ИТ-компаниями Республики Саха (Якутия) составляет 150,8 млн рублей в 2015 г. и 200,3 млн рублей 2016 году.</w:t>
      </w:r>
    </w:p>
    <w:p w:rsidR="00000000" w:rsidRDefault="00986BCA">
      <w:r>
        <w:t>Размер отрасли информационных технологий республики оценочно составляет в 1,255 млрд рублей по итогам 2015 года.</w:t>
      </w:r>
    </w:p>
    <w:p w:rsidR="00000000" w:rsidRDefault="00986BCA">
      <w:r>
        <w:t>Ос</w:t>
      </w:r>
      <w:r>
        <w:t>новные направления по ИТ-продукции и ИТ-услуг, в которых заняты местные компании:</w:t>
      </w:r>
    </w:p>
    <w:p w:rsidR="00000000" w:rsidRDefault="00986BCA">
      <w:r>
        <w:t>создание игр;</w:t>
      </w:r>
    </w:p>
    <w:p w:rsidR="00000000" w:rsidRDefault="00986BCA">
      <w:r>
        <w:t>создание WEB-контента, в том числе создание онлайн-магазинов;</w:t>
      </w:r>
    </w:p>
    <w:p w:rsidR="00000000" w:rsidRDefault="00986BCA">
      <w:r>
        <w:t>создание мобильных приложений;</w:t>
      </w:r>
    </w:p>
    <w:p w:rsidR="00000000" w:rsidRDefault="00986BCA">
      <w:r>
        <w:t>сопровождение информационных систем;</w:t>
      </w:r>
    </w:p>
    <w:p w:rsidR="00000000" w:rsidRDefault="00986BCA">
      <w:r>
        <w:t>предоставление услуг по настро</w:t>
      </w:r>
      <w:r>
        <w:t>йке и ремонту компьютерной техники, ЛВС;</w:t>
      </w:r>
    </w:p>
    <w:p w:rsidR="00000000" w:rsidRDefault="00986BCA">
      <w:r>
        <w:t>продажа компьютерной техники, комплектующих и расходных материалов, пакетного программного обеспечения;</w:t>
      </w:r>
    </w:p>
    <w:p w:rsidR="00000000" w:rsidRDefault="00986BCA">
      <w:r>
        <w:t xml:space="preserve">оказание услуг в сфере информационной безопасности, </w:t>
      </w:r>
      <w:hyperlink r:id="rId14" w:history="1">
        <w:r>
          <w:rPr>
            <w:rStyle w:val="a4"/>
          </w:rPr>
          <w:t>электронные подписи</w:t>
        </w:r>
      </w:hyperlink>
      <w:r>
        <w:t>;</w:t>
      </w:r>
    </w:p>
    <w:p w:rsidR="00000000" w:rsidRDefault="00986BCA">
      <w:r>
        <w:t>о</w:t>
      </w:r>
      <w:r>
        <w:t>бучение (курсы программирования, роботехники</w:t>
      </w:r>
      <w:hyperlink r:id="rId15" w:history="1">
        <w:r>
          <w:rPr>
            <w:rStyle w:val="a4"/>
            <w:shd w:val="clear" w:color="auto" w:fill="F0F0F0"/>
          </w:rPr>
          <w:t>#</w:t>
        </w:r>
      </w:hyperlink>
      <w:r>
        <w:t>, web-дизайна, 3D-моделирования);</w:t>
      </w:r>
    </w:p>
    <w:p w:rsidR="00000000" w:rsidRDefault="00986BCA">
      <w:r>
        <w:t>банковские технологии.</w:t>
      </w:r>
    </w:p>
    <w:p w:rsidR="00000000" w:rsidRDefault="00986BCA">
      <w:r>
        <w:t>Одним из ключевых моментов при создании благоприятных условий для развития креативной экономики и ИТ-отрасли является создание ИТ-парка, на который возложена роль драйвера развития ИТ-отрасли республики, ее имиджевой составляющей.</w:t>
      </w:r>
    </w:p>
    <w:p w:rsidR="00000000" w:rsidRDefault="00986BCA">
      <w:r>
        <w:t xml:space="preserve">В ИТ-парке будут созданы </w:t>
      </w:r>
      <w:r>
        <w:t>условия для привлечения и работы резидентов: льготная ставка аренды офисных помещений, льготная ставка по плате за широкополосный высокоскоростной интернет будут проводиться конференции, мастер классы, открытые лекции, хакатоны. Должна быть предусмотрена в</w:t>
      </w:r>
      <w:r>
        <w:t>озможность размещения зон отдыха, занятия спортом, зоны для питания, банковская и другая сервисная инфраструктура для ведения бизнеса. Немаловажным будет наличие образовательных учреждений государственного и частного характера.</w:t>
      </w:r>
    </w:p>
    <w:p w:rsidR="00000000" w:rsidRDefault="00986BCA">
      <w:r>
        <w:t>Для развития отрасли необход</w:t>
      </w:r>
      <w:r>
        <w:t>имо решить проблему насыщения рынка труда ИТ-специалистами. В рамках данной подпрограммы планируются расходы на популяризацию ИТ-профессий путем проведения профессионального конкурса для школьников, студентов и молодежи "Моя профессия - ИТ".</w:t>
      </w:r>
    </w:p>
    <w:p w:rsidR="00000000" w:rsidRDefault="00986BCA">
      <w:r>
        <w:t xml:space="preserve">Конкурс будет </w:t>
      </w:r>
      <w:r>
        <w:t>направлен на выявление наиболее успешных ИТ команд по разным направлениям: программирование, компьютерный дизайн, менеджмент в ИТ. Победители и призеры конкурса кроме получения спонсорских подарков также имеют возможность в приоритетном порядке поступить в</w:t>
      </w:r>
      <w:r>
        <w:t xml:space="preserve"> лучшие ВУЗы России и Якутии по отрасли ИТ.</w:t>
      </w:r>
    </w:p>
    <w:p w:rsidR="00000000" w:rsidRDefault="00986BCA">
      <w:r>
        <w:t>Анализируя отрасль, сделаны выводы о наличии следующих проблем:</w:t>
      </w:r>
    </w:p>
    <w:p w:rsidR="00000000" w:rsidRDefault="00986BCA">
      <w:r>
        <w:t>отсутствие развитой ИТ-инфраструктуры (ИТ-парк, ИТ-центров в районах республики);</w:t>
      </w:r>
    </w:p>
    <w:p w:rsidR="00000000" w:rsidRDefault="00986BCA">
      <w:r>
        <w:t>дефицит ИТ-специалистов;</w:t>
      </w:r>
    </w:p>
    <w:p w:rsidR="00000000" w:rsidRDefault="00986BCA">
      <w:r>
        <w:t xml:space="preserve">недостаточное количество ИТ-сервисов для </w:t>
      </w:r>
      <w:r>
        <w:t>населения республики;</w:t>
      </w:r>
    </w:p>
    <w:p w:rsidR="00000000" w:rsidRDefault="00986BCA">
      <w:r>
        <w:t xml:space="preserve">программы обучения студентов в ВУЗах и ССУЗах не соответствуют </w:t>
      </w:r>
      <w:r>
        <w:lastRenderedPageBreak/>
        <w:t>современному состоянию развития технологий, практики и нужд ИТ-бизнеса;</w:t>
      </w:r>
    </w:p>
    <w:p w:rsidR="00000000" w:rsidRDefault="00986BCA">
      <w:r>
        <w:t>невысокая событийная активность для ИТ-бизнеса;</w:t>
      </w:r>
    </w:p>
    <w:p w:rsidR="00000000" w:rsidRDefault="00986BCA">
      <w:r>
        <w:t xml:space="preserve">отсутствие имиджа республики как одного из центров </w:t>
      </w:r>
      <w:r>
        <w:t>развития ИТ-технологий в Дальневосточном федеральном округе и в России в целом, отсутствие информационной политики по поддержке ИТ-бренда республики;</w:t>
      </w:r>
    </w:p>
    <w:p w:rsidR="00000000" w:rsidRDefault="00986BCA">
      <w:r>
        <w:t>слабое развитие ИТ в районах республики;</w:t>
      </w:r>
    </w:p>
    <w:p w:rsidR="00000000" w:rsidRDefault="00986BCA">
      <w:r>
        <w:t>низкий уровень НИОКР в сфере ИТ.</w:t>
      </w:r>
    </w:p>
    <w:p w:rsidR="00000000" w:rsidRDefault="00986BCA">
      <w:r>
        <w:t>Решение проблем механизмами подп</w:t>
      </w:r>
      <w:r>
        <w:t>рограммами позволит сформировать самостоятельную отрасль экономики не сырьевого характера с развитием экспорта интеллектуальных продуктов и сформировать креативный облик республики.</w:t>
      </w:r>
    </w:p>
    <w:p w:rsidR="00000000" w:rsidRDefault="00986BCA">
      <w:r>
        <w:t>Мастера Якутии известны не только народно-художественным творчеством, но и</w:t>
      </w:r>
      <w:r>
        <w:t xml:space="preserve"> производством ювелирных изделий наивысшего качества и современного дизайна. Ювелирные изделия Якутии уже сформировали свой устойчивый торговый и туристский бренд, но для масштабной политики производства и реализации ювелирных изделий республики требуется </w:t>
      </w:r>
      <w:r>
        <w:t>внедрение новых механизмов стимулирования и поддержки по ряду направлений.</w:t>
      </w:r>
    </w:p>
    <w:p w:rsidR="00000000" w:rsidRDefault="00986BCA">
      <w:r>
        <w:t>За январь - декабрь 2016 года произведено ювелирных изделий на сумму 1 237,7 млн рублей или 95,2% к установленному заданию, что соответствует 76,1% к показателю за аналогичный перио</w:t>
      </w:r>
      <w:r>
        <w:t>д 2015 года. Основным фактором, влияющим на невыполнение задания по производству ювелирных изделий, послужило снижение спроса на предметы роскоши. Вместе с тем, не учитывается возрастающий рост производства на ювелирные изделия, в том числе с бриллиантами,</w:t>
      </w:r>
      <w:r>
        <w:t xml:space="preserve"> со стороны покупателей Азиатско-Тихоокеанского региона. Проводимые событийные туры и активное участие в них представителей Азиатско-Тихоокеанского региона являются тому подтверждением. Предлагаемый ассортимент ювелирных изделий не всегда отвечает запросам</w:t>
      </w:r>
      <w:r>
        <w:t xml:space="preserve"> покупателей различной бюджетной обеспеченности. Информационный вакуум в позиционировании республики в качестве ювелирной локации также накладывает свой отпечаток. Серьезным риском в упущении рынков сбыта является и отсутствие защиты товарных знаков, патен</w:t>
      </w:r>
      <w:r>
        <w:t>тов на авторские ювелирные работы мастеров республики.</w:t>
      </w:r>
    </w:p>
    <w:p w:rsidR="00000000" w:rsidRDefault="00986BCA">
      <w:r>
        <w:t>На данном этапе республика нуждается в системе государственных и общественных мер и механизмов поддержки различных инвестиционных и предпринимательских инициатив, обеспечивающих повышение конкурентоспо</w:t>
      </w:r>
      <w:r>
        <w:t>собности региона.</w:t>
      </w:r>
    </w:p>
    <w:p w:rsidR="00000000" w:rsidRDefault="00986BCA">
      <w:r>
        <w:t>Одним из механизмов поддержки является создание алмазно-бриллиантового и ювелирного комплекса в ТОСЭР "Индустриальный парк "Кангалассы", позволяющий получить льготную арендную ставку, преференции в отношении налогов, сокращенные сроки для</w:t>
      </w:r>
      <w:r>
        <w:t xml:space="preserve"> получения разрешительной документации, пониженные тарифы страховых взносов и др.</w:t>
      </w:r>
    </w:p>
    <w:p w:rsidR="00000000" w:rsidRDefault="00986BCA">
      <w:r>
        <w:t>Комплексный подход подразумевает не только имущественное стимулирование, но и поддержку в продвижении и защите производимой продукции.</w:t>
      </w:r>
    </w:p>
    <w:p w:rsidR="00000000" w:rsidRDefault="00986BCA">
      <w:r>
        <w:t>Участие в крупных ювелирных выставках я</w:t>
      </w:r>
      <w:r>
        <w:t>вляется наиболее эффективным способом налаживания деловых контактов, увеличения объемов реализации (розница и оптовая продажи), выработки лояльности покупателей к новым ювелирным брендам. Значимыми для ювелиров Якутии выставками являются - международная юв</w:t>
      </w:r>
      <w:r>
        <w:t>елирная выставка "JUNWEX" в Санкт-Петербурге и Москве (2 раза в год), международная ювелирная выставка "Ару Алматы" (Казахстан), межрегиональная выставка - ярмарка ювелирных изделий "Северное сияние" (Якутск).</w:t>
      </w:r>
    </w:p>
    <w:p w:rsidR="00000000" w:rsidRDefault="00986BCA">
      <w:r>
        <w:t>На начало 2018 года Россия находится в непрост</w:t>
      </w:r>
      <w:r>
        <w:t xml:space="preserve">ой ситуации, это связано с международной обстановкой, санкциями, которые введены против России. </w:t>
      </w:r>
      <w:r>
        <w:lastRenderedPageBreak/>
        <w:t xml:space="preserve">Одновременно это открывает огромные возможности по импортозамещению. Необходимо продвигать алмазогранильные и ювелирные предприятия республики, как на внешний, </w:t>
      </w:r>
      <w:r>
        <w:t>так и на внутренний рынок. Республике нужны новые бренды, товары, которые будут по цене и качеству соответствовать самым современным требованиям.</w:t>
      </w:r>
    </w:p>
    <w:p w:rsidR="00000000" w:rsidRDefault="00986BCA">
      <w:r>
        <w:t>Официальная регистрация торговых марок "Ювелиры Якутии", "Якутские бриллианты" является реальной необходимость</w:t>
      </w:r>
      <w:r>
        <w:t>ю в создании целенаправленной стратегии по продвижению якутских бриллиантов и ювелирных изделий. Единые торговые марки дадут возможность осуществить системный подход к рекламным и маркетинговым стратегиям, самостоятельно проводимыми предприятиями Якутии на</w:t>
      </w:r>
      <w:r>
        <w:t xml:space="preserve"> протяжении нескольких лет.</w:t>
      </w:r>
    </w:p>
    <w:p w:rsidR="00000000" w:rsidRDefault="00986BCA">
      <w:r>
        <w:t>Для активного участия компаний во внешнеэкономической деятельности - участие на международных выставках, реализация сувенирной продукции из бивня мамонтов иностранным туристам встречает проблемы:</w:t>
      </w:r>
    </w:p>
    <w:p w:rsidR="00000000" w:rsidRDefault="00986BCA">
      <w:bookmarkStart w:id="24" w:name="sub_20001"/>
      <w:r>
        <w:t>1. При вывозе ценностей</w:t>
      </w:r>
      <w:r>
        <w:t xml:space="preserve"> на международную выставку с территории Российской Федерации необходимо пройти сложную процедуру оформления документов (лицензий), занимающую до 6 месяцев.</w:t>
      </w:r>
    </w:p>
    <w:p w:rsidR="00000000" w:rsidRDefault="00986BCA">
      <w:bookmarkStart w:id="25" w:name="sub_20002"/>
      <w:bookmarkEnd w:id="24"/>
      <w:r>
        <w:t xml:space="preserve">2. Некоторые таможенные пункты на вывоз продукции из бивня мамонта, из территории </w:t>
      </w:r>
      <w:r>
        <w:t xml:space="preserve">Российской Федерации, требуют разрешения. Несмотря на то, что в соответствии с </w:t>
      </w:r>
      <w:hyperlink r:id="rId16" w:history="1">
        <w:r>
          <w:rPr>
            <w:rStyle w:val="a4"/>
          </w:rPr>
          <w:t>разделом 2.20</w:t>
        </w:r>
      </w:hyperlink>
      <w:r>
        <w:t xml:space="preserve"> Перечня, утвержденного </w:t>
      </w:r>
      <w:hyperlink r:id="rId17" w:history="1">
        <w:r>
          <w:rPr>
            <w:rStyle w:val="a4"/>
          </w:rPr>
          <w:t>Решением</w:t>
        </w:r>
      </w:hyperlink>
      <w:r>
        <w:t xml:space="preserve"> Коллегии Евразийской экономической комиссии от 16.08.201</w:t>
      </w:r>
      <w:r>
        <w:t>2 N 134, к культурным ценностям, ограниченным к перемещению через таможенную границу Таможенного союза при вывозе не относятся художественные ценности, созданные менее 50 лет назад.</w:t>
      </w:r>
    </w:p>
    <w:bookmarkEnd w:id="25"/>
    <w:p w:rsidR="00000000" w:rsidRDefault="00986BCA">
      <w:r>
        <w:t>Одной из ключевых задач развития креативной экономики является об</w:t>
      </w:r>
      <w:r>
        <w:t>еспечение стимулирующих механизмов через защиту и продвижение имиджевой продукции, в том числе регистрация и позиционирование на мировом рынке торговых марок "Ювелиры Якутии", "Якутские бриллианты", поддержка продвижения якутских брендов в части возмещения</w:t>
      </w:r>
      <w:r>
        <w:t xml:space="preserve"> затрат на торгово-выставочную деятельность и экспорт местной продукции.</w:t>
      </w:r>
    </w:p>
    <w:p w:rsidR="00000000" w:rsidRDefault="00986BCA">
      <w:r>
        <w:t>Успешное развитие туризма напрямую связано с использованием человеческого, экономического, культурного и природного потенциала региона. Ювелирная продукция, новые разработки и техноло</w:t>
      </w:r>
      <w:r>
        <w:t>гии неразрывно связаны и являются неотъемлемыми элементами индустрии гостеприимства.</w:t>
      </w:r>
    </w:p>
    <w:p w:rsidR="00000000" w:rsidRDefault="00986BCA">
      <w:r>
        <w:t>На сегодняшний день туризм является одной из наиболее перспективных отраслей в Республике Саха (Якутия), потенциально способной достигнуть значительных результатов в непро</w:t>
      </w:r>
      <w:r>
        <w:t>изводственном секторе экономики региона. Эта отрасль оказывает значительное мультипликативное воздействие на деятельность рассмотренных выше секторов экономики республики, также напрямую способствует росту услуг в таких сферах как услуги коллективных средс</w:t>
      </w:r>
      <w:r>
        <w:t>тв размещения, общественного питания, транспорта, связи, торговли, производства сувенирной продукции.</w:t>
      </w:r>
    </w:p>
    <w:p w:rsidR="00000000" w:rsidRDefault="00986BCA">
      <w:r>
        <w:t xml:space="preserve">По данным исследования Центра информационных коммуникаций "Рейтинг" (совместно с журналом "Отдых в России"), посвященному туристической привлекательности </w:t>
      </w:r>
      <w:r>
        <w:t>регионов Российской Федерации, их туристическому потенциалу и популярности среди отечественных и иностранных туристов Республика Саха (Якутия) занимает 58 место.</w:t>
      </w:r>
    </w:p>
    <w:p w:rsidR="00000000" w:rsidRDefault="00986BCA">
      <w:r>
        <w:t>Во многом такая ситуация связана с отсутствием общереспубликанского (якутского) бренда на рынке туристских услуг и долгосрочной маркетинговой политики в этой области. В виде исключения здесь можно назвать только строганину, которая заняла 80 место (из 100)</w:t>
      </w:r>
      <w:r>
        <w:t xml:space="preserve"> в Национальном рейтинге туристических брендов.</w:t>
      </w:r>
    </w:p>
    <w:p w:rsidR="00000000" w:rsidRDefault="00986BCA">
      <w:r>
        <w:t xml:space="preserve">Сегодня словосочетание "якутский бренд" на рынке туристических услуг по сути </w:t>
      </w:r>
      <w:r>
        <w:lastRenderedPageBreak/>
        <w:t>лишено точного емкого содержания. И если не наполнять его смыслами и образами, то нынешние стереотипы о Якутии (холод, ГУЛАГ, тундр</w:t>
      </w:r>
      <w:r>
        <w:t xml:space="preserve">а, олени, алмазы) сохранят доминирующее положение. Таким образом, первоочередной задачей в формировании маркетинговой политики по продвижению якутского бренда на туристическом рынке является создание комплементарной системы образов по отношению к продукту </w:t>
      </w:r>
      <w:r>
        <w:t>или дискурса и донесение его до потребителя. Идею Якутии как туристского бренда необходимо максимально усложнять, что позволит продемонстрировать как природное, так и культурное богатство региона. Для осуществления этих задач необходима последовательная до</w:t>
      </w:r>
      <w:r>
        <w:t>лгосрочная стратегия, включающая в себя работу с масс-медиа, создание системы образов в культурном и даже языковом пространстве, а также создание атрибутов якутского бренда, а именно логотипа, слогана, шрифтов, цветовой гаммы и т. д.</w:t>
      </w:r>
    </w:p>
    <w:p w:rsidR="00000000" w:rsidRDefault="00986BCA">
      <w:r>
        <w:t xml:space="preserve">Также дополнительными </w:t>
      </w:r>
      <w:r>
        <w:t>препятствиями для развития туризма в республике являются:</w:t>
      </w:r>
    </w:p>
    <w:p w:rsidR="00000000" w:rsidRDefault="00986BCA">
      <w:r>
        <w:t>трудность доступа к финансовым ресурсам, необходимых для развития малого предпринимательства;</w:t>
      </w:r>
    </w:p>
    <w:p w:rsidR="00000000" w:rsidRDefault="00986BCA">
      <w:r>
        <w:t>фактическое отсутствие достойной мирового стандарта туристической инфраструктуры;</w:t>
      </w:r>
    </w:p>
    <w:p w:rsidR="00000000" w:rsidRDefault="00986BCA">
      <w:r>
        <w:t>сохраняющийся недостат</w:t>
      </w:r>
      <w:r>
        <w:t>ок квалифицированных кадров, нехватка специальных знаний и опыта;</w:t>
      </w:r>
    </w:p>
    <w:p w:rsidR="00000000" w:rsidRDefault="00986BCA">
      <w:r>
        <w:t>удаленность уникальных объектов, возможных для туристского показа, от основных транспортных узлов;</w:t>
      </w:r>
    </w:p>
    <w:p w:rsidR="00000000" w:rsidRDefault="00986BCA">
      <w:r>
        <w:t>удаленность от центральных регионов и, как следствие, высокая стоимость транспортных услуг,</w:t>
      </w:r>
      <w:r>
        <w:t xml:space="preserve"> а также ненадежность перевозок в зимнее время, дорогие авиатарифы по внутренним направлениям Якутии.</w:t>
      </w:r>
    </w:p>
    <w:p w:rsidR="00000000" w:rsidRDefault="00986BCA">
      <w:r>
        <w:t xml:space="preserve">В 2012 - 2016 годах государственная политика развития отрасли туризма осуществлялась на основе </w:t>
      </w:r>
      <w:hyperlink r:id="rId18" w:history="1">
        <w:r>
          <w:rPr>
            <w:rStyle w:val="a4"/>
          </w:rPr>
          <w:t>Стратегии</w:t>
        </w:r>
      </w:hyperlink>
      <w:r>
        <w:t xml:space="preserve"> развития т</w:t>
      </w:r>
      <w:r>
        <w:t>уристской индустрии в Республике Саха (Якутия) до 2025 года во взаимодействии с федеральными и муниципальными органами, общественными организациями, исполнительными органами государственной власти республики, бизнесом. Сформированная за этот период нормати</w:t>
      </w:r>
      <w:r>
        <w:t>вно-правовая база и комплексные механизмы позволили закрепить туризм как одну из наиболее перспективных отраслей социально-экономического развития республики. В полном объеме исполнена дорожная карта II этапа Стратегии развития туристской индустрии в Респу</w:t>
      </w:r>
      <w:r>
        <w:t xml:space="preserve">блике Саха (Якутия) до 2025 года (2012 - 2016 годы). Финансовое обеспечение туристской отрасли предусматривалось </w:t>
      </w:r>
      <w:hyperlink r:id="rId19" w:history="1">
        <w:r>
          <w:rPr>
            <w:rStyle w:val="a4"/>
          </w:rPr>
          <w:t>государственной программой</w:t>
        </w:r>
      </w:hyperlink>
      <w:r>
        <w:t xml:space="preserve"> Республики Саха (Якутия) "Развитие внутреннего и въездного туризма в Республи</w:t>
      </w:r>
      <w:r>
        <w:t>ке Саха (Якутия) на 2012 - 2019 гг.".</w:t>
      </w:r>
    </w:p>
    <w:p w:rsidR="00000000" w:rsidRDefault="00986BCA">
      <w:r>
        <w:t>Общая численность граждан Российской Федерации и иностранных граждан, размещенных в коллективных средствах размещения Республики Саха (Якутия), в 2016 году составила 178,4 тыс. человек, превысив значение данного показа</w:t>
      </w:r>
      <w:r>
        <w:t>теля 2010 года на 38,1% (в 2010 году - 129,2 тыс. человек). Основную долю численности граждан, размещенных в коллективных средствах размещения республики, обеспечивают граждане Российской Федерации. Максимальный уровень за 2010 - 2015 годы численности граж</w:t>
      </w:r>
      <w:r>
        <w:t>дан, размещенных в коллективных средствах размещения Республики, достигла 190,7 тыс. человек. По сравнению с ним показатель 2016 года снизился на 6,4%, в том числе численность граждан Российской Федерации на 6,3%, численность иностранных граждан на 9,5%.</w:t>
      </w:r>
    </w:p>
    <w:p w:rsidR="00000000" w:rsidRDefault="00986BCA">
      <w:r>
        <w:t>И</w:t>
      </w:r>
      <w:r>
        <w:t>нвестиции в основной капитал, направленные на развитие коллективных средств размещения (гостиниц, прочих мест временного проживания) в республике, в 2015 году составили 0,7 млн рублей или 2,8% от уровня 2010 года (25,0 млн рублей).</w:t>
      </w:r>
    </w:p>
    <w:p w:rsidR="00000000" w:rsidRDefault="00986BCA">
      <w:r>
        <w:lastRenderedPageBreak/>
        <w:t xml:space="preserve">Площадь номерного фонда </w:t>
      </w:r>
      <w:r>
        <w:t>коллективных средств размещения республики в 2016 году составила 46,8 тыс. кв.м и по сравнению с 2015 годом увеличилась на 3,0 тыс. кв.м. По сравнению с 2010 годом прирост составил 12,2% (в 2010 году - 41,7 тыс. кв.м.).</w:t>
      </w:r>
    </w:p>
    <w:p w:rsidR="00000000" w:rsidRDefault="00986BCA">
      <w:r>
        <w:t>Число мест в них в 2016 году по срав</w:t>
      </w:r>
      <w:r>
        <w:t>нению с 2015 годом снизилось на 0,9 тыс. единиц.</w:t>
      </w:r>
    </w:p>
    <w:p w:rsidR="00000000" w:rsidRDefault="00986BCA">
      <w:r>
        <w:t xml:space="preserve">Среднесписочная численность работников коллективных средств размещения в 2016 году составила 1619 чел. по сравнению с 1817 чел. в 2010 году, т.е. снизилась на 10,9%. Численность лиц, работающих в туристских </w:t>
      </w:r>
      <w:r>
        <w:t>фирмах, возросла с 361 чел. в 2010 году до 372 чел. в 2015 году.</w:t>
      </w:r>
    </w:p>
    <w:p w:rsidR="00000000" w:rsidRDefault="00986BCA">
      <w:r>
        <w:t>Общий объем платных услуг, оказанных населению, возрос в республике в 2016 году по сравнению с 2010 годом (за 7 лет) в 2,2 раза (с 267,9 млн рублей до 590,7 млн рублей), общий объем платных у</w:t>
      </w:r>
      <w:r>
        <w:t>слуг гостиниц и аналогичных средств размещения в 1,5 раза (618,6 млн рублей до 952,4 млн рублей).</w:t>
      </w:r>
    </w:p>
    <w:p w:rsidR="00000000" w:rsidRDefault="00986BCA">
      <w:r>
        <w:t>В 2016 году в республике насчитывалось 165 гостиниц и аналогичных средств размещения (в 2010 г. 104). Число мест в них составило 3000 единиц (по сравнению с 2</w:t>
      </w:r>
      <w:r>
        <w:t>010 г. 2000 ед.). При этом с учетом фактического числа ночевок в гостиницах и аналогичных средствах размещения коэффициент их загрузки снизился с 36,0% в 2010 году до 32,4% в 2016 году.</w:t>
      </w:r>
    </w:p>
    <w:p w:rsidR="00000000" w:rsidRDefault="00986BCA">
      <w:r>
        <w:t xml:space="preserve">Доля субъектов малого предпринимательства, занимающихся деятельностью </w:t>
      </w:r>
      <w:r>
        <w:t>в области туризма, повысилась с 2,5% в 2010 году до 2,8% в 2015 году (достигнув самого низкого значения за 6 лет с 2010 по 2016 годы). При этом в сфере туризма субъекты среднего предпринимательства отсутствуют.</w:t>
      </w:r>
    </w:p>
    <w:p w:rsidR="00000000" w:rsidRDefault="00986BCA">
      <w:r>
        <w:t>Для обеспечения кадрами индустрии туризма сфо</w:t>
      </w:r>
      <w:r>
        <w:t>рмирована и активно функционирована</w:t>
      </w:r>
      <w:hyperlink r:id="rId20" w:history="1">
        <w:r>
          <w:rPr>
            <w:rStyle w:val="a4"/>
            <w:shd w:val="clear" w:color="auto" w:fill="F0F0F0"/>
          </w:rPr>
          <w:t>#</w:t>
        </w:r>
      </w:hyperlink>
      <w:r>
        <w:t xml:space="preserve"> система подготовки кадров, принята отраслевая концепция подготовки кадров, создан при СВФУ им. М.К. Аммосова Ресурсный центр подготовки, переподготовки и повышение квалификации (далее </w:t>
      </w:r>
      <w:r>
        <w:t>- Ресурсный центр). По итогам деятельности за 2015 - 2016 годы по 21 мероприятию Ресурсного центра охвачено 2039 слушателей. С 2012 по 2017 годы по специальностям туристской индустрии организациями высшего образования и среднего профессионального образован</w:t>
      </w:r>
      <w:r>
        <w:t xml:space="preserve">ия было выпущено 369 специалистов (по специальностям "Туризм", "Гостиничный сервис" (ГБПОУ РС (Я) "Покровский колледж"), "Спортивно-оздоровительный туризм", "Гостиничный менеджмент" (ФГАОУ ВО СВФУ им. М.К. Аммосова)). Всего лишь 40% из них устраиваются по </w:t>
      </w:r>
      <w:r>
        <w:t>специальности. Продолжает сохраняться потребность в кадровых ресурсах по специализации "Туризм", "Гостиничный сервис", "Организация обслуживания в общественном питании", "Технология и организация туроператорских и турагентских услуг", также требуется подго</w:t>
      </w:r>
      <w:r>
        <w:t>товка кадров и повышение квалификации гидов, инструкторов-проводников, педагогических работников по организации детского туризма. Согласно реестру Министерства инвестиционного развития и предпринимательства Республики Саха (Якутия) в республике работают вс</w:t>
      </w:r>
      <w:r>
        <w:t>его 13 сертифицированных инструкторов-проводников, что не отвечает потребностям туроператоров, турагентов, муниципальных образований.</w:t>
      </w:r>
    </w:p>
    <w:p w:rsidR="00000000" w:rsidRDefault="00986BCA">
      <w:r>
        <w:t>С 2012 по 2016 годы АУ ДПО "Бизнес-школа" Республики Саха (Якутия) обучено 320 гидов-экскурсоводов. В 2015 году создана "Г</w:t>
      </w:r>
      <w:r>
        <w:t>ильдия экскурсоводов Республики Саха (Якутия)" при Ресурсном центре. При этом заинтересованность и мотивация у молодых выпускников в развитии экскурсионного дела отсутствует.</w:t>
      </w:r>
    </w:p>
    <w:p w:rsidR="00000000" w:rsidRDefault="00986BCA">
      <w:r>
        <w:t>Повышению имиджа и престижа профессий способствует профессиональный конкурс Минис</w:t>
      </w:r>
      <w:r>
        <w:t xml:space="preserve">терства культуры Российской Федерации "Лучший в профессии индустрии туризма" с организацией и проведением отборочных региональных этапов. Представители Республики Саха (Якутия) в 2016 году стали победителями в </w:t>
      </w:r>
      <w:r>
        <w:lastRenderedPageBreak/>
        <w:t>номинациях "Лучший работник службы приема и ра</w:t>
      </w:r>
      <w:r>
        <w:t>змещения гостиницы/иного средства размещения" и "Лучший менеджер по въездному и внутреннему туризму".</w:t>
      </w:r>
    </w:p>
    <w:p w:rsidR="00000000" w:rsidRDefault="00986BCA">
      <w:r>
        <w:t>С 2016 года республика участвует в проекте Федерального агентства по туризму "Общенациональная система подготовки и повышения квалификации специалистов ин</w:t>
      </w:r>
      <w:r>
        <w:t>дустрии туризма", позволяющая пройти обучение как по очной форме в региональных образовательных площадках, так и дистанционно (без отрыва от работы с использованием компьютера и сети Интернет). В 2016 - 2017 годах 184 специалиста туристской индустрии респу</w:t>
      </w:r>
      <w:r>
        <w:t>блики были обеспечены актуальной информацией обо всех изменениях в правовой, инфраструктурной, экономической, информационной и маркетинговой областях турбизнеса, пройдя курсы повышения квалификации.</w:t>
      </w:r>
    </w:p>
    <w:p w:rsidR="00000000" w:rsidRDefault="00986BCA">
      <w:r>
        <w:t>Ежегодно в рамках отраслевой выставки "Sakha Travel" пров</w:t>
      </w:r>
      <w:r>
        <w:t>одятся обучающие семинары для работников туристской индустрии.</w:t>
      </w:r>
    </w:p>
    <w:p w:rsidR="00000000" w:rsidRDefault="00986BCA">
      <w:r>
        <w:t>За период 2012 - 2016 годы активно развивалось межрегиональное и международное сотрудничество в сфере туризма.</w:t>
      </w:r>
    </w:p>
    <w:p w:rsidR="00000000" w:rsidRDefault="00986BCA">
      <w:r>
        <w:t>В сентябре 2015 года между Правительством Республики Саха (Якутия) и Ростуризмом п</w:t>
      </w:r>
      <w:r>
        <w:t>одписан План совместных действий по реализации Соглашения в сфере туризма, нацеленный на создание инфраструктуры, продвижение туристских продуктов и др.</w:t>
      </w:r>
    </w:p>
    <w:p w:rsidR="00000000" w:rsidRDefault="00986BCA">
      <w:r>
        <w:t>Главами субъектов Дальневосточного федерального округа и Сибири подписано соглашение с Федеральным аген</w:t>
      </w:r>
      <w:r>
        <w:t>тством по туризму и Министерством культуры Российской Федерации по развитию проекта "Восточное кольцо России", в рамках которого созданы туристские маршруты: "Восточное кольцо России", "Пять столиц Дальнего Востока", "От Байкала до моря Лаптевых", "Пять эл</w:t>
      </w:r>
      <w:r>
        <w:t>ементов к познанию России", "Легенды Дальнего Востока".</w:t>
      </w:r>
    </w:p>
    <w:p w:rsidR="00000000" w:rsidRDefault="00986BCA">
      <w:r>
        <w:t>Ежегодно проводимые республикой событийные туры "Полюс холода", Ысыах, "Бриллиантовая неделя Якутии", "Зима начинается с Якутии", Международные спортивные игры "Дети Азии", промо-туры прочно закрепили</w:t>
      </w:r>
      <w:r>
        <w:t xml:space="preserve"> в международном сознании эксклюзивные туристские бренды: якутские алмазы и бриллианты, Холод и Полюс Холода, Якутская Зима, Мамонт, Ленские столбы, Ысыах, Олонхо - нематериальный шедевр наследия ЮНЕСКО.</w:t>
      </w:r>
    </w:p>
    <w:p w:rsidR="00000000" w:rsidRDefault="00986BCA">
      <w:r>
        <w:t>Созданный в 2015 году Национальный туристско-информа</w:t>
      </w:r>
      <w:r>
        <w:t>ционный центр "Якутия" использует новые возможности для продвижения через:</w:t>
      </w:r>
    </w:p>
    <w:p w:rsidR="00000000" w:rsidRDefault="00986BCA">
      <w:r>
        <w:t>Национальный туристический портал Russia.travel;</w:t>
      </w:r>
    </w:p>
    <w:p w:rsidR="00000000" w:rsidRDefault="00986BCA">
      <w:r>
        <w:t>зарубежные офисы "Visit Russia", расположенные в Юго-Восточной Азии, Объединенных Арабских Эмиратах (ОАЭ), Иране, Италии, Финляндии,</w:t>
      </w:r>
      <w:r>
        <w:t xml:space="preserve"> г. Пекине и г. Москве;</w:t>
      </w:r>
    </w:p>
    <w:p w:rsidR="00000000" w:rsidRDefault="00986BCA">
      <w:r>
        <w:t>продажу туристских пакетов через ассоциацию туроператоров России (АТОР) 3 туристских продуктов ("Гостеприимная Якутия. Праздник Ысыах - якутский новый год", "Удивительная Якутия", "Удивительная Якутия с посещением песчаных дюн"), которые утверждены комитет</w:t>
      </w:r>
      <w:r>
        <w:t>ом по импортозамещению для массовых продаж через ведущих туроператоров.</w:t>
      </w:r>
    </w:p>
    <w:p w:rsidR="00000000" w:rsidRDefault="00986BCA">
      <w:r>
        <w:t>Туристский продукт республики регулярно представлялся на международных и российских отраслевых выставках Китая, Японии, Германии, Великобритании, Южной Кореи, Латвии, г. Москвы, г. Вла</w:t>
      </w:r>
      <w:r>
        <w:t>дивостока. Освещался в более чем в 200 российских и иностранных интернет-изданиях www.bbc.com, www.itar-tass.com, www.jewerllernet.ru, rough-polished.com и других ведущих изданиях, у ведущих блогеров livejournal.com с общим многомиллионным количеством прос</w:t>
      </w:r>
      <w:r>
        <w:t>мотров, демонстрацией на федеральных телеканалах "Первый", "Вести 24", "Россия 2", "Пятый", "ВГТРК", "Моя планета", выпуском блока программ "Страна.ру" с четырьмя фильмами о якутских алмазах и Бриллиантовой Неделе Якутии, Мамонтах и мамонтовых турах, Хомус</w:t>
      </w:r>
      <w:r>
        <w:t xml:space="preserve">е и </w:t>
      </w:r>
      <w:r>
        <w:lastRenderedPageBreak/>
        <w:t>Национальном празднике "Ысыах". Также турпродукт республики по итогам пресс- и промо-туров освещался посредством крупнейших телеканалов и радиокомпаний провинций Китайской Народной Республики, Южной Кореи, Японии.</w:t>
      </w:r>
    </w:p>
    <w:p w:rsidR="00000000" w:rsidRDefault="00986BCA">
      <w:r>
        <w:t>Уникальные туристские продукты и предс</w:t>
      </w:r>
      <w:r>
        <w:t>тавители туристской индустрии республики удостоены за прошедший период профессиональных наград российского и международного значения: "Диво России", "Путешествие за вкусом", "Лучший по профессии в индустрии туризма", "Russian Event awards", "Russian Open E</w:t>
      </w:r>
      <w:r>
        <w:t>vent Expo", "National Geographic Traveler Awards-2016", "Туристский сувенир" и др.</w:t>
      </w:r>
    </w:p>
    <w:p w:rsidR="00000000" w:rsidRDefault="00986BCA">
      <w:r>
        <w:t xml:space="preserve">Завершается строительство обеспечивающей инфраструктуры туристско-рекреационного кластера "Северная Мозаика", включенного в систему мероприятий </w:t>
      </w:r>
      <w:hyperlink r:id="rId21" w:history="1">
        <w:r>
          <w:rPr>
            <w:rStyle w:val="a4"/>
          </w:rPr>
          <w:t>Федеральной целевой программы</w:t>
        </w:r>
      </w:hyperlink>
      <w:r>
        <w:t xml:space="preserve"> "Развитие внутреннего и въездного туризма Российской Федерации (2011 - 2018 годы)" в 2011 году.</w:t>
      </w:r>
    </w:p>
    <w:p w:rsidR="00000000" w:rsidRDefault="00986BCA">
      <w:r>
        <w:t>ТРК "Северная Мозаика" размещается в одном из наиболее живописных и экологически привлекательных мест на границе двух до</w:t>
      </w:r>
      <w:r>
        <w:t>лин реки Лена: "Туймаада" и "Эркяни" на площади 49 га. По местным легендам и историческим источникам Табагинский Мыс среди коренного населения известен как "Ытык хайя" - Священная гора. Этот район расположен в географически выгоднейшем месте, с точки зрени</w:t>
      </w:r>
      <w:r>
        <w:t>я развития туризма, на реке Лена. Рельеф местности предоставляет благоприятные условия для размещения туристских объектов кластера, широкие возможности для развития туристско-экскурсионных программ, в том числе межрегионального значения. Отличные ландшафтн</w:t>
      </w:r>
      <w:r>
        <w:t>о-пейзажные показатели создают благоприятные условия для развития оздоровительных и активных видов туризма. Расстояние от центра г. Якутска составляет 33 км. Кластер размещается в одном километре от поселка Старая Табага. Одним из основных направлений Клас</w:t>
      </w:r>
      <w:r>
        <w:t>тера является демонстрация эпохи освоения Севера и, благодаря своему уникальному месторасположению и наполнению, наиболее полно отразит исторический путь развития современной республики.</w:t>
      </w:r>
    </w:p>
    <w:p w:rsidR="00000000" w:rsidRDefault="00986BCA">
      <w:r>
        <w:t xml:space="preserve">Основной тематической составляющей туристско-рекреационного кластера </w:t>
      </w:r>
      <w:r>
        <w:t>является природный мир, климат, территориальные особенности жизнедеятельности человеческих сообществ, история, этнография, животный мир, археология и палеонтология северных территорий Циркумполярного Севера.</w:t>
      </w:r>
    </w:p>
    <w:p w:rsidR="00000000" w:rsidRDefault="00986BCA">
      <w:r>
        <w:t xml:space="preserve">Планируемым к включению в </w:t>
      </w:r>
      <w:hyperlink r:id="rId22" w:history="1">
        <w:r>
          <w:rPr>
            <w:rStyle w:val="a4"/>
          </w:rPr>
          <w:t>Федеральную целевую программу</w:t>
        </w:r>
      </w:hyperlink>
      <w:r>
        <w:t xml:space="preserve"> "Развитие внутреннего и въездного туризма в Российской Федерации на 2019 - 2025 годы" и обладающим высокой степенью готовности к реализации является инвестиционный проект Туристско-рекреационного кластера "Орт</w:t>
      </w:r>
      <w:r>
        <w:t>о Дойду".</w:t>
      </w:r>
    </w:p>
    <w:p w:rsidR="00000000" w:rsidRDefault="00986BCA">
      <w:r>
        <w:t xml:space="preserve">Данный проект включен в приказ Федерального агентства по туризму "Об утверждении Реестра инвестиционных проектов субъектов РФ, включенных Координационным советом в перечень мероприятий </w:t>
      </w:r>
      <w:hyperlink r:id="rId23" w:history="1">
        <w:r>
          <w:rPr>
            <w:rStyle w:val="a4"/>
          </w:rPr>
          <w:t>ФЦП</w:t>
        </w:r>
      </w:hyperlink>
      <w:r>
        <w:t xml:space="preserve"> "Развитие внутренн</w:t>
      </w:r>
      <w:r>
        <w:t>его и въездного туризма в Российской Федерации (2011-2018 годы)".</w:t>
      </w:r>
    </w:p>
    <w:p w:rsidR="00000000" w:rsidRDefault="00986BCA">
      <w:r>
        <w:t>Проект имеет большое значение для социально-экономического развития Республики Саха (Якутия) и повышения инвестиционной привлекательности региональной туриндустрии.</w:t>
      </w:r>
    </w:p>
    <w:p w:rsidR="00000000" w:rsidRDefault="00986BCA">
      <w:r>
        <w:t>Концепция ТРК "Орто Дойду</w:t>
      </w:r>
      <w:r>
        <w:t>" основана на эпосе Олонхо, которому в 2005 году решением ЮНЕСКО присвоен статус шедевра устного и нематериального наследия человечества.</w:t>
      </w:r>
    </w:p>
    <w:p w:rsidR="00000000" w:rsidRDefault="00986BCA">
      <w:r>
        <w:t>Проект представляет собой этнокультурный комплекс, раскрывающий культуру, традиции и верования народа саха.</w:t>
      </w:r>
    </w:p>
    <w:p w:rsidR="00000000" w:rsidRDefault="00986BCA">
      <w:r>
        <w:t>При реализ</w:t>
      </w:r>
      <w:r>
        <w:t>ации ТРК "Орто дойду" рассматривается возможность привлечения инвестиций на основе принципов государственно-частного партнёрства, ведется активный поиск якорного инвестора, а также проводится оценка инвесторов для дальнейшего подписания соглашений о намере</w:t>
      </w:r>
      <w:r>
        <w:t>ниях.</w:t>
      </w:r>
    </w:p>
    <w:p w:rsidR="00000000" w:rsidRDefault="00986BCA">
      <w:r>
        <w:lastRenderedPageBreak/>
        <w:t>По предварительным данным в перечень объектов туристской инфраструктуры предлагается включить зоопарк "Орто Дойду" общей площадью 5153 кв. м., культурно-этнографический комплекс "Орто Дойду" общей площадью 4313 кв. м., спортивно-развлекательный компл</w:t>
      </w:r>
      <w:r>
        <w:t>екс "Техтюр" общей площадью 1180 кв. м., павильоны "13 месяцев", "Танха" на 104 места общей площадью 2856 кв. м., детский развлекательно-этнографический комплекс общей площадью 2856 кв. м., сооружение "Аал-Лук Мас" (многофункциональное здание с ресторанами</w:t>
      </w:r>
      <w:r>
        <w:t xml:space="preserve"> и обзорной площадкой) 1230 кв. м., многофункциональный зал Арт-галерея с кинотеатрами общей площадью 2 092 кв. м., объект "Мо5ол ураса" общей площадью 226 кв. м., павильоны "Времена года" ("Сыл кэмнэрэ") общей площадью 480 кв. м., павильоны "Кут-Сур" обще</w:t>
      </w:r>
      <w:r>
        <w:t>й площадью 360 кв. м., гостиница со столовой национальной кухни "С бабушкой в деревню" общей площадью 481 кв. м., объект "Берестяная ураса" общей площадью 126 кв. м., "Якутский балаган XVI века" общей площадью 184 кв. м., кемпинговые дома (туристическая ба</w:t>
      </w:r>
      <w:r>
        <w:t>за "Октем парк") общей площадью 175 кв. м., аквапарк общей площадью 800 кв. м., зона отдыха с лодочной станцией общей площадью 839 кв. м., домики для отдыха общей площадью 192 кв. м., конно-туристическая школа, в т.ч. хозяйственные постройки, конюшня на 30</w:t>
      </w:r>
      <w:r>
        <w:t xml:space="preserve"> лошадей и крытый манеж общей площадью 384 кв. м., 2-квартирные блокированные дома для работников кластера общей площадью 675 кв. м.</w:t>
      </w:r>
    </w:p>
    <w:p w:rsidR="00000000" w:rsidRDefault="00986BCA">
      <w:r>
        <w:t xml:space="preserve">Представляемый проект имеет высокую транспортную доступность: в 50 километрах от участка расположен международный аэропорт </w:t>
      </w:r>
      <w:r>
        <w:t>"Туймаада", в 56 километрах речной порт, по территории кластера пролегает региональная автотрасса "Умнас" (Якутск - Ленск). Период реализации проекта составит оценочно 4 года с 2018 по 2021 годы.</w:t>
      </w:r>
    </w:p>
    <w:p w:rsidR="00000000" w:rsidRDefault="00986BCA">
      <w:r>
        <w:t>Строительство данного кластера предполагает активизацию имею</w:t>
      </w:r>
      <w:r>
        <w:t>щихся ресурсов, прежде всего, в области природного, социокультурного и исторического наследия.</w:t>
      </w:r>
    </w:p>
    <w:p w:rsidR="00000000" w:rsidRDefault="00986BCA">
      <w:r>
        <w:t>Анализ факторов, влияющих на развитие туризма, показал, что принимаемых мер явно недостаточно. Для прорыва якутского туризма на международные рынки и занятия сво</w:t>
      </w:r>
      <w:r>
        <w:t>ей уникальной ниши требуются новые взгляды и подходы, новые проекты.</w:t>
      </w:r>
    </w:p>
    <w:p w:rsidR="00000000" w:rsidRDefault="00986BCA"/>
    <w:p w:rsidR="00000000" w:rsidRDefault="00986BCA">
      <w:pPr>
        <w:pStyle w:val="1"/>
      </w:pPr>
      <w:bookmarkStart w:id="26" w:name="sub_20003"/>
      <w:r>
        <w:t>Анализ рисков реализации программы, управление рисками</w:t>
      </w:r>
    </w:p>
    <w:bookmarkEnd w:id="26"/>
    <w:p w:rsidR="00000000" w:rsidRDefault="00986BCA"/>
    <w:p w:rsidR="00000000" w:rsidRDefault="00986BCA">
      <w:r>
        <w:t>Весь процесс управления рисками можно свести к трем фазам: оценке вероятности, оценке силы влияния фактора и оце</w:t>
      </w:r>
      <w:r>
        <w:t>нке путей снижения рисков.</w:t>
      </w:r>
    </w:p>
    <w:p w:rsidR="00000000" w:rsidRDefault="00986BCA">
      <w:r>
        <w:t xml:space="preserve">Анализ рисков, причин их возникновения и мероприятий по их минимизации при реализации Программы приведен в </w:t>
      </w:r>
      <w:hyperlink w:anchor="sub_10" w:history="1">
        <w:r>
          <w:rPr>
            <w:rStyle w:val="a4"/>
          </w:rPr>
          <w:t>таблице 1</w:t>
        </w:r>
      </w:hyperlink>
      <w:r>
        <w:t>.</w:t>
      </w:r>
    </w:p>
    <w:p w:rsidR="00000000" w:rsidRDefault="00986BCA"/>
    <w:p w:rsidR="00000000" w:rsidRDefault="00986BCA">
      <w:pPr>
        <w:pStyle w:val="1"/>
      </w:pPr>
      <w:bookmarkStart w:id="27" w:name="sub_20004"/>
      <w:r>
        <w:t>Риски невыполнения Программы</w:t>
      </w:r>
    </w:p>
    <w:bookmarkEnd w:id="27"/>
    <w:p w:rsidR="00000000" w:rsidRDefault="00986BCA"/>
    <w:p w:rsidR="00000000" w:rsidRDefault="00986BCA">
      <w:pPr>
        <w:ind w:firstLine="0"/>
        <w:jc w:val="right"/>
      </w:pPr>
      <w:bookmarkStart w:id="28" w:name="sub_10"/>
      <w:r>
        <w:rPr>
          <w:rStyle w:val="a3"/>
        </w:rPr>
        <w:t>Таблица 1</w:t>
      </w:r>
    </w:p>
    <w:bookmarkEnd w:id="28"/>
    <w:p w:rsidR="00000000" w:rsidRDefault="00986B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680"/>
        <w:gridCol w:w="1540"/>
        <w:gridCol w:w="4200"/>
      </w:tblGrid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Наименование ри</w:t>
            </w:r>
            <w:r w:rsidRPr="00986BCA">
              <w:rPr>
                <w:rFonts w:eastAsiaTheme="minorEastAsia"/>
              </w:rPr>
              <w:t>сков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Вероятность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Сила влияния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Способ преодоления риска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Риски, связанные с недофинансированием Программы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Недофинансирование со стороны государственного бюджета Республики </w:t>
            </w:r>
            <w:r w:rsidRPr="00986BCA">
              <w:rPr>
                <w:rFonts w:eastAsiaTheme="minorEastAsia"/>
              </w:rPr>
              <w:lastRenderedPageBreak/>
              <w:t>Саха (Якутия)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высокая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высокая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Определение приоритетов для первоочередного финансирования; оценка эффективности бюджетных </w:t>
            </w:r>
            <w:r w:rsidRPr="00986BCA">
              <w:rPr>
                <w:rFonts w:eastAsiaTheme="minorEastAsia"/>
              </w:rPr>
              <w:lastRenderedPageBreak/>
              <w:t>вложений;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привлечение внебюджетных источников реализации подпрограммы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Недофинансирование со стороны федерального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высокая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высокая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Определение приоритетов для первоочередного финансирования; оценка эффективности бюджетных вложений;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пересмотр направлений финансирования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Недософинансирование со стороны местных бюджетов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высокая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средняя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Пропаганда эффективности вложений в развитие туризма</w:t>
            </w:r>
            <w:r w:rsidRPr="00986BCA">
              <w:rPr>
                <w:rFonts w:eastAsiaTheme="minorEastAsia"/>
              </w:rPr>
              <w:t>; анализ эффективности бюджетных вложений; поддержка начинающих субъектов малого и среднего предпринимательства, занятых в сфере туризма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Недософинансирование из внебюджетных источников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высокая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высокая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Пропаганда эффективности вложений в развитие туризма; взаимодействие с общественными и профессиональными организациями объединениями предпринимателей; пропаганда успешных проектов и начинаний;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повышение открытости за счет постоянного информирования предпри</w:t>
            </w:r>
            <w:r w:rsidRPr="00986BCA">
              <w:rPr>
                <w:rFonts w:eastAsiaTheme="minorEastAsia"/>
              </w:rPr>
              <w:t>нимательской среды об осуществляемых мероприятиях с использованием разнообразных каналов коммуникаций передачи информации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Риски, связанные с человеческим фактором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Недоверие со стороны предпринимателей и юридических лиц в полезность и доступность мероприятий Программы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средняя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средняя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Повышение открытости за счет постоянного информирования предпринимательской среды об осуществляемых мероприятиях с использованием разно</w:t>
            </w:r>
            <w:r w:rsidRPr="00986BCA">
              <w:rPr>
                <w:rFonts w:eastAsiaTheme="minorEastAsia"/>
              </w:rPr>
              <w:t>образных каналов коммуникаций передачи информации;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пропаганда успешных проектов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Техногенные и экологические риски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Форс-мажорные обстоятельства - стихийные бедствия (лесные пожары, засухи, наводнения, землетрясения)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высокая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средняя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Создание кластеров на территориях, характеризующихся различными природно-географическими особенностями в целях снижения антропогенной нагрузки;</w:t>
            </w:r>
          </w:p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мониторинг состояния окружающей среды; </w:t>
            </w:r>
            <w:r w:rsidRPr="00986BCA">
              <w:rPr>
                <w:rFonts w:eastAsiaTheme="minorEastAsia"/>
              </w:rPr>
              <w:lastRenderedPageBreak/>
              <w:t>регулирование сезонного предложения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Геополитические риски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Военные и террористические действия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низкая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средняя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Позиционирование Республики Саха (Якутия) как региона со стабильной политической ситуацией</w:t>
            </w:r>
          </w:p>
        </w:tc>
      </w:tr>
    </w:tbl>
    <w:p w:rsidR="00000000" w:rsidRDefault="00986BCA"/>
    <w:p w:rsidR="00000000" w:rsidRDefault="00986BCA">
      <w:pPr>
        <w:pStyle w:val="a6"/>
        <w:rPr>
          <w:color w:val="000000"/>
          <w:sz w:val="16"/>
          <w:szCs w:val="16"/>
        </w:rPr>
      </w:pPr>
      <w:bookmarkStart w:id="29" w:name="sub_1200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986BCA">
      <w:pPr>
        <w:pStyle w:val="a7"/>
      </w:pPr>
      <w:r>
        <w:t xml:space="preserve">Раздел 2 изменен с 23 марта 2018 г. - </w:t>
      </w:r>
      <w:hyperlink r:id="rId24" w:history="1">
        <w:r>
          <w:rPr>
            <w:rStyle w:val="a4"/>
          </w:rPr>
          <w:t>Указ</w:t>
        </w:r>
      </w:hyperlink>
      <w:r>
        <w:t xml:space="preserve"> Главы Республики Саха (Якутия) от 22 марта 2018 г. N 2467</w:t>
      </w:r>
    </w:p>
    <w:p w:rsidR="00000000" w:rsidRDefault="00986BCA">
      <w:pPr>
        <w:pStyle w:val="a7"/>
      </w:pPr>
      <w:hyperlink r:id="rId25" w:history="1">
        <w:r>
          <w:rPr>
            <w:rStyle w:val="a4"/>
          </w:rPr>
          <w:t>См. предыдущую редакцию</w:t>
        </w:r>
      </w:hyperlink>
    </w:p>
    <w:p w:rsidR="00000000" w:rsidRDefault="00986BCA">
      <w:pPr>
        <w:pStyle w:val="1"/>
      </w:pPr>
      <w:r>
        <w:t>Раздел 2. Цель и задачи государственной программы</w:t>
      </w:r>
    </w:p>
    <w:p w:rsidR="00000000" w:rsidRDefault="00986BCA"/>
    <w:p w:rsidR="00000000" w:rsidRDefault="00986BCA">
      <w:r>
        <w:t>Целью Программы является формирование новы</w:t>
      </w:r>
      <w:r>
        <w:t>х отраслей "умной экономики" Республики Саха (Якутия) на основе развития ИТ-отрасли, креативной индустрии, индустрии гостеприимства.</w:t>
      </w:r>
    </w:p>
    <w:p w:rsidR="00000000" w:rsidRDefault="00986BCA">
      <w:r>
        <w:t>Для достижения цели Программы необходимо решить следующие задачи:</w:t>
      </w:r>
    </w:p>
    <w:p w:rsidR="00000000" w:rsidRDefault="00986BCA">
      <w:bookmarkStart w:id="30" w:name="sub_20005"/>
      <w:r>
        <w:t>1) создание условий для формирования ИТ-сектора;</w:t>
      </w:r>
    </w:p>
    <w:p w:rsidR="00000000" w:rsidRDefault="00986BCA">
      <w:bookmarkStart w:id="31" w:name="sub_20006"/>
      <w:bookmarkEnd w:id="30"/>
      <w:r>
        <w:t>2) развитие конкурентоспособных региональных брендов;</w:t>
      </w:r>
    </w:p>
    <w:p w:rsidR="00000000" w:rsidRDefault="00986BCA">
      <w:bookmarkStart w:id="32" w:name="sub_20007"/>
      <w:bookmarkEnd w:id="31"/>
      <w:r>
        <w:t>3) формирование туристского имиджа в Республике Саха (Якутия);</w:t>
      </w:r>
    </w:p>
    <w:p w:rsidR="00000000" w:rsidRDefault="00986BCA">
      <w:pPr>
        <w:pStyle w:val="a6"/>
        <w:rPr>
          <w:color w:val="000000"/>
          <w:sz w:val="16"/>
          <w:szCs w:val="16"/>
        </w:rPr>
      </w:pPr>
      <w:bookmarkStart w:id="33" w:name="sub_20008"/>
      <w:bookmarkEnd w:id="32"/>
      <w:r>
        <w:rPr>
          <w:color w:val="000000"/>
          <w:sz w:val="16"/>
          <w:szCs w:val="16"/>
        </w:rPr>
        <w:t>ГАРАНТ:</w:t>
      </w:r>
    </w:p>
    <w:bookmarkEnd w:id="33"/>
    <w:p w:rsidR="00000000" w:rsidRDefault="00986BCA">
      <w:pPr>
        <w:pStyle w:val="a6"/>
        <w:ind w:left="139"/>
      </w:pPr>
      <w:r>
        <w:t xml:space="preserve">Нумерация пунктов приводится в соответствии с источником </w:t>
      </w:r>
    </w:p>
    <w:p w:rsidR="00000000" w:rsidRDefault="00986BCA">
      <w:r>
        <w:t>5) комплексное развитие внутреннего и въездного туризма с учетом обеспечения экономического и социокультурного прогресса в Республике Саха (Якутия).</w:t>
      </w:r>
    </w:p>
    <w:p w:rsidR="00000000" w:rsidRDefault="00986BCA">
      <w:hyperlink w:anchor="sub_1010" w:history="1">
        <w:r>
          <w:rPr>
            <w:rStyle w:val="a4"/>
          </w:rPr>
          <w:t>Подпрограмма N 1</w:t>
        </w:r>
      </w:hyperlink>
      <w:r>
        <w:t xml:space="preserve"> "Развитие отрасли информационных технологий в Республики Саха (Я</w:t>
      </w:r>
      <w:r>
        <w:t>кутия)".</w:t>
      </w:r>
    </w:p>
    <w:p w:rsidR="00000000" w:rsidRDefault="00986BC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86BCA">
      <w:pPr>
        <w:pStyle w:val="a6"/>
      </w:pPr>
      <w:r>
        <w:t xml:space="preserve">По-видимому, в тексте предыдущего абзаца допущена опечатка. Название названной </w:t>
      </w:r>
      <w:hyperlink w:anchor="sub_1010" w:history="1">
        <w:r>
          <w:rPr>
            <w:rStyle w:val="a4"/>
          </w:rPr>
          <w:t>подпрограммы</w:t>
        </w:r>
      </w:hyperlink>
      <w:r>
        <w:t xml:space="preserve"> следует читать как "Развитие отрасли информационных технологий в Республике Саха (Якутия)"</w:t>
      </w:r>
    </w:p>
    <w:p w:rsidR="00000000" w:rsidRDefault="00986BCA">
      <w:r>
        <w:t xml:space="preserve">Целью </w:t>
      </w:r>
      <w:hyperlink w:anchor="sub_1010" w:history="1">
        <w:r>
          <w:rPr>
            <w:rStyle w:val="a4"/>
          </w:rPr>
          <w:t>п</w:t>
        </w:r>
        <w:r>
          <w:rPr>
            <w:rStyle w:val="a4"/>
          </w:rPr>
          <w:t>одпрограммы</w:t>
        </w:r>
      </w:hyperlink>
      <w:r>
        <w:t xml:space="preserve"> является создание условий для формирования ИТ-сектора.</w:t>
      </w:r>
    </w:p>
    <w:p w:rsidR="00000000" w:rsidRDefault="00986BCA">
      <w:r>
        <w:t>Для достижения данной цели необходимо решить следующие задачи:</w:t>
      </w:r>
    </w:p>
    <w:p w:rsidR="00000000" w:rsidRDefault="00986BCA">
      <w:bookmarkStart w:id="34" w:name="sub_20009"/>
      <w:r>
        <w:t>1. Развитие механизмов поддержки ИТ-отрасли. Необходима реализация мероприятий по созданию благоприятных условий д</w:t>
      </w:r>
      <w:r>
        <w:t>ля развития отрасли информационных технологий, созданию парка высоких технологий (ИТ-Парк) в г. Якутске для увеличения доли ИТ отрасли в валовом региональном продукте, а также поддержка проектов, направленных на развитие кадрового потенциала ИТ-отрасли, пр</w:t>
      </w:r>
      <w:r>
        <w:t>едоставление грантов местным ИТ-компаниям.</w:t>
      </w:r>
    </w:p>
    <w:p w:rsidR="00000000" w:rsidRDefault="00986BCA">
      <w:bookmarkStart w:id="35" w:name="sub_20010"/>
      <w:bookmarkEnd w:id="34"/>
      <w:r>
        <w:t>2. Создание условий для продвижения региональных ИТ-продуктов. Включает в себя мероприятия по субсидированию внедрения высокотехнологических информационно-коммуникационных разработок в туризме, в</w:t>
      </w:r>
      <w:r>
        <w:t xml:space="preserve"> том числе аудио-, радио- и медиагидов, IT-приложений, QR-кодов для продвижения туристкого</w:t>
      </w:r>
      <w:hyperlink r:id="rId26" w:history="1">
        <w:r>
          <w:rPr>
            <w:rStyle w:val="a4"/>
            <w:shd w:val="clear" w:color="auto" w:fill="F0F0F0"/>
          </w:rPr>
          <w:t>#</w:t>
        </w:r>
      </w:hyperlink>
      <w:r>
        <w:t xml:space="preserve"> продукта, а именно внедрение мобильных приложений о товарах и сервисе, проведение ежегодной конференции E-Yakutia.</w:t>
      </w:r>
    </w:p>
    <w:bookmarkEnd w:id="35"/>
    <w:p w:rsidR="00000000" w:rsidRDefault="00986BCA">
      <w:r>
        <w:fldChar w:fldCharType="begin"/>
      </w:r>
      <w:r>
        <w:instrText>HYPER</w:instrText>
      </w:r>
      <w:r>
        <w:instrText>LINK \l "sub_1020"</w:instrText>
      </w:r>
      <w:r>
        <w:fldChar w:fldCharType="separate"/>
      </w:r>
      <w:r>
        <w:rPr>
          <w:rStyle w:val="a4"/>
        </w:rPr>
        <w:t>Подпрограмма N 2</w:t>
      </w:r>
      <w:r>
        <w:fldChar w:fldCharType="end"/>
      </w:r>
      <w:r>
        <w:t xml:space="preserve"> "Защита и продвижение имиджевой продукции Республики Саха (Якутия)".</w:t>
      </w:r>
    </w:p>
    <w:p w:rsidR="00000000" w:rsidRDefault="00986BCA">
      <w:r>
        <w:t xml:space="preserve">Целью </w:t>
      </w:r>
      <w:hyperlink w:anchor="sub_1020" w:history="1">
        <w:r>
          <w:rPr>
            <w:rStyle w:val="a4"/>
          </w:rPr>
          <w:t>подпрограммы</w:t>
        </w:r>
      </w:hyperlink>
      <w:r>
        <w:t xml:space="preserve"> является развитие конкурентоспособных региональных </w:t>
      </w:r>
      <w:r>
        <w:lastRenderedPageBreak/>
        <w:t>брендов.</w:t>
      </w:r>
    </w:p>
    <w:p w:rsidR="00000000" w:rsidRDefault="00986BCA">
      <w:r>
        <w:t>Для достижения данной цели необходимо решить</w:t>
      </w:r>
      <w:r>
        <w:t xml:space="preserve"> следующую задачу:</w:t>
      </w:r>
    </w:p>
    <w:p w:rsidR="00000000" w:rsidRDefault="00986BCA">
      <w:bookmarkStart w:id="36" w:name="sub_20011"/>
      <w:r>
        <w:t xml:space="preserve">1. Формирование механизмов защиты и продвижения имиджевой продукции. Для реализации данной задачи необходимы мероприятия по регистрации и позиционировании на мировом рынке торговых марок "Ювелиры Якутии", "Якутские бриллианты"; </w:t>
      </w:r>
      <w:r>
        <w:t>поддержка продвижения якутских брендов в части возмещения затрат на торгово-выставочную деятельность и экспорт местной продукции; реализация проекта создания алмазо-бриллиантового кластера в рамках ТОР "Индустриальный парк "Кангалассы".</w:t>
      </w:r>
    </w:p>
    <w:bookmarkEnd w:id="36"/>
    <w:p w:rsidR="00000000" w:rsidRDefault="00986BCA">
      <w:r>
        <w:t>В ходе реа</w:t>
      </w:r>
      <w:r>
        <w:t xml:space="preserve">лизации </w:t>
      </w:r>
      <w:hyperlink w:anchor="sub_1020" w:history="1">
        <w:r>
          <w:rPr>
            <w:rStyle w:val="a4"/>
          </w:rPr>
          <w:t>подпрограммы</w:t>
        </w:r>
      </w:hyperlink>
      <w:r>
        <w:t xml:space="preserve"> ожидаемым результатом является увеличение регистрации торговых марок до 4 единиц.</w:t>
      </w:r>
    </w:p>
    <w:bookmarkStart w:id="37" w:name="sub_30002"/>
    <w:p w:rsidR="00000000" w:rsidRDefault="00986BCA">
      <w:r>
        <w:fldChar w:fldCharType="begin"/>
      </w:r>
      <w:r>
        <w:instrText>HYPERLINK \l "sub_1030"</w:instrText>
      </w:r>
      <w:r>
        <w:fldChar w:fldCharType="separate"/>
      </w:r>
      <w:r>
        <w:rPr>
          <w:rStyle w:val="a4"/>
        </w:rPr>
        <w:t>Подпрограмма N 3</w:t>
      </w:r>
      <w:r>
        <w:fldChar w:fldCharType="end"/>
      </w:r>
      <w:r>
        <w:t xml:space="preserve"> "Развитие туристской индустрии в Республике Саха (Якутия)".</w:t>
      </w:r>
    </w:p>
    <w:bookmarkEnd w:id="37"/>
    <w:p w:rsidR="00000000" w:rsidRDefault="00986BCA">
      <w:r>
        <w:t xml:space="preserve">Целью </w:t>
      </w:r>
      <w:hyperlink w:anchor="sub_1030" w:history="1">
        <w:r>
          <w:rPr>
            <w:rStyle w:val="a4"/>
          </w:rPr>
          <w:t>подпрограммы</w:t>
        </w:r>
      </w:hyperlink>
      <w:r>
        <w:t xml:space="preserve"> является формирование туристского имиджа в Республике Саха (Якутия).</w:t>
      </w:r>
    </w:p>
    <w:p w:rsidR="00000000" w:rsidRDefault="00986BCA">
      <w:r>
        <w:t>Для достижения данной цели необходимо решить следующие задачи:</w:t>
      </w:r>
    </w:p>
    <w:p w:rsidR="00000000" w:rsidRDefault="00986BCA">
      <w:bookmarkStart w:id="38" w:name="sub_20012"/>
      <w:r>
        <w:t>1. Формирование и продвижение конкурентоспособных туристских продуктов Якути</w:t>
      </w:r>
      <w:r>
        <w:t>и, основанных на эксклюзивных преимуществах. Необходима реализация мероприятий по организации рекламных туров для туристских администраций, туристских агентств и представителей СМИ по развитию и обеспечению деятельности туристско-информационных центров, пр</w:t>
      </w:r>
      <w:r>
        <w:t>оведение мероприятий в сфере туризма (выставки, конференции, презентации, форумы, фестивали, конкурсы, телепередачи и др.), также разработка туристского бренда Республики Саха (Якутия) и муниципальных образований, создание конкурентоспособного медиа</w:t>
      </w:r>
      <w:hyperlink r:id="rId27" w:history="1">
        <w:r>
          <w:rPr>
            <w:rStyle w:val="a4"/>
            <w:shd w:val="clear" w:color="auto" w:fill="F0F0F0"/>
          </w:rPr>
          <w:t>#</w:t>
        </w:r>
      </w:hyperlink>
      <w:r>
        <w:t xml:space="preserve"> контента туристского продукта, создание и проведение передвижных презентаций (roadshow) и развитие событийного туризма "Путешествие на Полюс Холода", "Бриллиантовая Неделя Якутии", "Зима начинается с Якутии", гастрономический </w:t>
      </w:r>
      <w:r>
        <w:t>фестиваль "Вкус Якутии", фестиваль спортивного туризма в Еланке.</w:t>
      </w:r>
    </w:p>
    <w:p w:rsidR="00000000" w:rsidRDefault="00986BCA">
      <w:bookmarkStart w:id="39" w:name="sub_20013"/>
      <w:bookmarkEnd w:id="38"/>
      <w:r>
        <w:t xml:space="preserve">2. Создание комфортной среды пребывания туристов. Реализация задачи планируется через субсидирование затрат гостиниц и объектов общественного питания на создание комфортной </w:t>
      </w:r>
      <w:r>
        <w:t>среды пребывания туриста по аналогии с программами China Friendly, Japan Friendly, India Friendly, проведение семинаров, круглых столов и лекций для сотрудников туристских предприятий, предприятий смежных отраслей (общественного питания, объектов размещени</w:t>
      </w:r>
      <w:r>
        <w:t>я, объектов посещения и показа), органов самоуправления и иных государственных учреждений, в том числе по правовым основам туристского обслуживания, субсидирование расходов на стажировку работников в сфере туризма на российских и иностранных туристских объ</w:t>
      </w:r>
      <w:r>
        <w:t>ектах, подготовка эксперта по направлению "Классификация гостиниц и иных средств размещения", субсидирование расходов некоммерческих организаций в туристской индустрии, связанных с приобретением автомобильного и речного транспорта туристского класса, в том</w:t>
      </w:r>
      <w:r>
        <w:t xml:space="preserve"> числе в целях развития социального туризма.</w:t>
      </w:r>
    </w:p>
    <w:p w:rsidR="00000000" w:rsidRDefault="00986BCA">
      <w:bookmarkStart w:id="40" w:name="sub_20014"/>
      <w:bookmarkEnd w:id="39"/>
      <w:r>
        <w:t>3. Совершенствование системы управления и учета в туристской индустрии. Необходима реализация мероприятий по разработке, внедрению, сопровождению автоматизировано-информационной системы учета п</w:t>
      </w:r>
      <w:r>
        <w:t>оказателей "Развитие индустрии туризма в Республике Саха (Якутия)", поощрение работников туристской индустрии за вклад в развитие, организация ежегодных мероприятий, посвященных профессиональному празднику "Всемирный День туризма", субсидирование некоммерч</w:t>
      </w:r>
      <w:r>
        <w:t>еских организаций в индустрии туризма, создание и обеспечение деятельности Школы туризма.</w:t>
      </w:r>
    </w:p>
    <w:bookmarkEnd w:id="40"/>
    <w:p w:rsidR="00000000" w:rsidRDefault="00986BCA">
      <w:r>
        <w:fldChar w:fldCharType="begin"/>
      </w:r>
      <w:r>
        <w:instrText>HYPERLINK \l "sub_1040"</w:instrText>
      </w:r>
      <w:r>
        <w:fldChar w:fldCharType="separate"/>
      </w:r>
      <w:r>
        <w:rPr>
          <w:rStyle w:val="a4"/>
        </w:rPr>
        <w:t>Подпрограмма N 4</w:t>
      </w:r>
      <w:r>
        <w:fldChar w:fldCharType="end"/>
      </w:r>
      <w:r>
        <w:t xml:space="preserve"> "Туристско-рекреационный комплекс". Целью подпрограммы является комплексное развитие внутреннего и въездного туриз</w:t>
      </w:r>
      <w:r>
        <w:t xml:space="preserve">ма с учетом обеспечения </w:t>
      </w:r>
      <w:r>
        <w:lastRenderedPageBreak/>
        <w:t>экономического и социокультурного прогресса в Республике Саха (Якутия).</w:t>
      </w:r>
    </w:p>
    <w:p w:rsidR="00000000" w:rsidRDefault="00986BCA">
      <w:r>
        <w:t>Для достижения данной цели необходимо решить следующую задачу:</w:t>
      </w:r>
    </w:p>
    <w:p w:rsidR="00000000" w:rsidRDefault="00986BCA">
      <w:bookmarkStart w:id="41" w:name="sub_20015"/>
      <w:r>
        <w:t xml:space="preserve">1. Формирование доступного туристско-рекреационного комплекса Республики Саха (Якутия), </w:t>
      </w:r>
      <w:r>
        <w:t>в том числе на условиях государственно-частного партнерства для развития экологического, культурно-познавательного, событийного, промышленного, автотуризма (самодеятельного), детско-юношеского (в т.ч. его внедрение в образовательных учреждениях), социально</w:t>
      </w:r>
      <w:r>
        <w:t>го туризма. Планируется реализация следующих мероприятий: субсидирование расходов, связанных с проектированием и формированием маршрутов и брендов; создание и развитие туристских комплексов на территории перспективных туристско-рекреационных кластеров Респ</w:t>
      </w:r>
      <w:r>
        <w:t>ублики Саха (Якутия), включая систему туристской навигации, по созданию туристской инфраструктуры туристских кластеров в Республике Саха (Якутия), в том числе: коллективные средства размещения, объекты торговли, досуга, развлечения и питания. Основными объ</w:t>
      </w:r>
      <w:r>
        <w:t>ектами является туристско-рекреационный кластер "Северная мозаика", туристско-рекреационный кластер "Орто Дойду", туристско-рекреационный кластер "ГУЛАГ".</w:t>
      </w:r>
    </w:p>
    <w:bookmarkEnd w:id="41"/>
    <w:p w:rsidR="00000000" w:rsidRDefault="00986BCA"/>
    <w:p w:rsidR="00000000" w:rsidRDefault="00986BCA">
      <w:pPr>
        <w:pStyle w:val="1"/>
      </w:pPr>
      <w:bookmarkStart w:id="42" w:name="sub_1300"/>
      <w:r>
        <w:t>Раздел 3. Общая характеристика участия муниципальных образований Республики Саха (Я</w:t>
      </w:r>
      <w:r>
        <w:t>кутия)</w:t>
      </w:r>
    </w:p>
    <w:bookmarkEnd w:id="42"/>
    <w:p w:rsidR="00000000" w:rsidRDefault="00986BCA"/>
    <w:p w:rsidR="00000000" w:rsidRDefault="00986BCA">
      <w:r>
        <w:t xml:space="preserve">Участие муниципальных образований Республики Саха (Якутия) предусмотрено в рамках </w:t>
      </w:r>
      <w:hyperlink w:anchor="sub_1040" w:history="1">
        <w:r>
          <w:rPr>
            <w:rStyle w:val="a4"/>
          </w:rPr>
          <w:t>подпрограммы</w:t>
        </w:r>
      </w:hyperlink>
      <w:r>
        <w:t xml:space="preserve"> "Развитие туристко-рекреационного комплекса в Республике Саха (Якутия)" на создание и развитие туристских комплексов на</w:t>
      </w:r>
      <w:r>
        <w:t xml:space="preserve"> территории перспективных туристско-рекреационных кластеров Республики Саха (Якутия) с объемом финансирования размере 37,015 млн рублей, из них предусмотренные средства государственного бюджета Республики Саха (Якутия) - 33,265 млн рублей, муниципального б</w:t>
      </w:r>
      <w:r>
        <w:t>юджета - 1,875 млн рублей, внебюджетные источники - 1,875 млн рублей.</w:t>
      </w:r>
    </w:p>
    <w:p w:rsidR="00000000" w:rsidRDefault="00986BC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86BCA">
      <w:pPr>
        <w:pStyle w:val="a6"/>
      </w:pPr>
      <w:r>
        <w:t xml:space="preserve">По-видимому, в тексте предыдущего абзаца допущена опечатка. Название названной </w:t>
      </w:r>
      <w:hyperlink w:anchor="sub_1040" w:history="1">
        <w:r>
          <w:rPr>
            <w:rStyle w:val="a4"/>
          </w:rPr>
          <w:t>подпрограммы</w:t>
        </w:r>
      </w:hyperlink>
      <w:r>
        <w:t xml:space="preserve"> следует читать как "Развитие туристско-рекреационного компле</w:t>
      </w:r>
      <w:r>
        <w:t>кса в Республике Саха (Якутия)"</w:t>
      </w:r>
    </w:p>
    <w:p w:rsidR="00000000" w:rsidRDefault="00986BCA">
      <w:r>
        <w:t>По иным подпрограммам участие муниципальных образований Республики Саха (Якутия) не предусмотрены.</w:t>
      </w:r>
    </w:p>
    <w:p w:rsidR="00000000" w:rsidRDefault="00986BCA">
      <w:r>
        <w:t xml:space="preserve">Условия предоставления и методика расчета межбюджетных субсидий приведены в </w:t>
      </w:r>
      <w:hyperlink w:anchor="sub_30000" w:history="1">
        <w:r>
          <w:rPr>
            <w:rStyle w:val="a4"/>
          </w:rPr>
          <w:t>приложении N 3</w:t>
        </w:r>
      </w:hyperlink>
      <w:r>
        <w:t xml:space="preserve"> к государственной программе.</w:t>
      </w:r>
    </w:p>
    <w:p w:rsidR="00000000" w:rsidRDefault="00986BCA"/>
    <w:p w:rsidR="00000000" w:rsidRDefault="00986BCA">
      <w:pPr>
        <w:pStyle w:val="1"/>
      </w:pPr>
      <w:bookmarkStart w:id="43" w:name="sub_1400"/>
      <w:r>
        <w:t>Раздел 4. Перечень и сведения о целевых показателях (индикаторах) государственной программы</w:t>
      </w:r>
    </w:p>
    <w:bookmarkEnd w:id="43"/>
    <w:p w:rsidR="00000000" w:rsidRDefault="00986BCA"/>
    <w:p w:rsidR="00000000" w:rsidRDefault="00986BCA">
      <w:r>
        <w:t>Перечень и сведения о целевых показателях (индикаторах) государственной программы с расшифровкой плановых значений п</w:t>
      </w:r>
      <w:r>
        <w:t xml:space="preserve">о годам ее реализации приведен в </w:t>
      </w:r>
      <w:hyperlink w:anchor="sub_10000" w:history="1">
        <w:r>
          <w:rPr>
            <w:rStyle w:val="a4"/>
          </w:rPr>
          <w:t>приложении N 1</w:t>
        </w:r>
      </w:hyperlink>
      <w:r>
        <w:t xml:space="preserve"> к государственной программе.</w:t>
      </w:r>
    </w:p>
    <w:p w:rsidR="00000000" w:rsidRDefault="00986BCA"/>
    <w:p w:rsidR="00000000" w:rsidRDefault="00986BCA">
      <w:pPr>
        <w:pStyle w:val="1"/>
      </w:pPr>
      <w:bookmarkStart w:id="44" w:name="sub_1500"/>
      <w:r>
        <w:t>Раздел 5. Ресурсное обеспечение государственной программы</w:t>
      </w:r>
    </w:p>
    <w:bookmarkEnd w:id="44"/>
    <w:p w:rsidR="00000000" w:rsidRDefault="00986BCA"/>
    <w:p w:rsidR="00000000" w:rsidRDefault="00986BCA">
      <w:r>
        <w:t xml:space="preserve">Информация по ресурсному обеспечению государственной программы в разрезе </w:t>
      </w:r>
      <w:r>
        <w:lastRenderedPageBreak/>
        <w:t>ист</w:t>
      </w:r>
      <w:r>
        <w:t xml:space="preserve">очников финансирования реализации государственной программы (расшифровка подпрограмм, основных мероприятий, а также по годам реализации государственной программы) приведены в </w:t>
      </w:r>
      <w:hyperlink w:anchor="sub_20000" w:history="1">
        <w:r>
          <w:rPr>
            <w:rStyle w:val="a4"/>
          </w:rPr>
          <w:t>приложении N 2</w:t>
        </w:r>
      </w:hyperlink>
      <w:r>
        <w:t xml:space="preserve"> к государственной программе.</w:t>
      </w:r>
    </w:p>
    <w:p w:rsidR="00000000" w:rsidRDefault="00986BCA"/>
    <w:p w:rsidR="00000000" w:rsidRDefault="00986BCA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986BCA">
      <w:pPr>
        <w:ind w:firstLine="0"/>
        <w:jc w:val="right"/>
      </w:pPr>
      <w:bookmarkStart w:id="45" w:name="sub_10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"Развитие креативной экономики и</w:t>
      </w:r>
      <w:r>
        <w:rPr>
          <w:rStyle w:val="a3"/>
        </w:rPr>
        <w:br/>
        <w:t>туризма в Республике Саха</w:t>
      </w:r>
      <w:r>
        <w:rPr>
          <w:rStyle w:val="a3"/>
        </w:rPr>
        <w:br/>
        <w:t>(Якутия) на 2018 - 2022 годы"</w:t>
      </w:r>
    </w:p>
    <w:bookmarkEnd w:id="45"/>
    <w:p w:rsidR="00000000" w:rsidRDefault="00986BCA"/>
    <w:p w:rsidR="00000000" w:rsidRDefault="00986BCA">
      <w:pPr>
        <w:pStyle w:val="1"/>
      </w:pPr>
      <w:r>
        <w:t>Сведения</w:t>
      </w:r>
      <w:r>
        <w:br/>
        <w:t>о показателях (индикаторах) государственной прогр</w:t>
      </w:r>
      <w:r>
        <w:t>аммы "Развитие креативной экономики и туризма в Республике Саха (Якутия) на 2018 - 2022 годы"</w:t>
      </w:r>
    </w:p>
    <w:p w:rsidR="00000000" w:rsidRDefault="00986B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2"/>
        <w:gridCol w:w="4297"/>
        <w:gridCol w:w="1247"/>
        <w:gridCol w:w="4158"/>
        <w:gridCol w:w="970"/>
        <w:gridCol w:w="970"/>
        <w:gridCol w:w="971"/>
        <w:gridCol w:w="970"/>
        <w:gridCol w:w="832"/>
      </w:tblGrid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N п/п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Наименование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Единица измерения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Ответственный исполнитель государственной программы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Значения показателей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Государственная программа "Развитие креативной экономики и туризма в Республике Саха (Якутия) на 2018 - 2022 годы"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Доля ИТ-отрасли в ВРП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%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инвестиционного развития и предпринимательства РС (Я), Министерство связи и информационных технологий РС (Я)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0,25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0,35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0,45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0,55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0,67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Регистрация торговых марок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ед.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промышленности и геологии РС (Я)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Общи</w:t>
            </w:r>
            <w:r w:rsidRPr="00986BCA">
              <w:rPr>
                <w:rFonts w:eastAsiaTheme="minorEastAsia"/>
              </w:rPr>
              <w:t>й туристский поток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тыс. чел.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инвестиционного развития и предпринимательства РС (Я)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206,5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207,9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Объем платных туристических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млн руб.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инвестиционного развития и предпринимательства РС (Я)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843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978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993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1007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1023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hyperlink w:anchor="sub_101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1</w:t>
              </w:r>
            </w:hyperlink>
            <w:r w:rsidRPr="00986BCA">
              <w:rPr>
                <w:rFonts w:eastAsiaTheme="minorEastAsia"/>
              </w:rPr>
              <w:t xml:space="preserve"> "Развитие отрасли информационных технологий в Республике Саха (Якутия)"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1. Развитие механизмов поддержки ИТ-отрасли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1.1.1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Доля ИТ-отрасли в ВРП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%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Министерство инвестиционного развития и предпринимательства </w:t>
            </w:r>
            <w:r w:rsidRPr="00986BCA">
              <w:rPr>
                <w:rFonts w:eastAsiaTheme="minorEastAsia"/>
              </w:rPr>
              <w:lastRenderedPageBreak/>
              <w:t>РС (Я), Министерство связи и информационных технологий РС (Я)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0,25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0,35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0,45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0,55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0,67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Основное мероприятие 2. Создание информационной среды для продвижения региональных туристических продуктов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1.2.1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Проведение ежегодной конференции E-Yakutia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ед.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связи и информационных технологий РС (Я)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14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hyperlink w:anchor="sub_102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2</w:t>
              </w:r>
            </w:hyperlink>
            <w:r w:rsidRPr="00986BCA">
              <w:rPr>
                <w:rFonts w:eastAsiaTheme="minorEastAsia"/>
              </w:rPr>
              <w:t xml:space="preserve"> "Защита и продвижение имиджевой продукции Республики Саха (Якутия)"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1. Формирование механизмов защиты и продвижения имиджевой продукции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2.1.1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Регистрация торговых марок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ед.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промышленности и геологии РС (Я)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hyperlink w:anchor="sub_103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3</w:t>
              </w:r>
            </w:hyperlink>
            <w:r w:rsidRPr="00986BCA">
              <w:rPr>
                <w:rFonts w:eastAsiaTheme="minorEastAsia"/>
              </w:rPr>
              <w:t xml:space="preserve"> "Развитие туристской индустрии в Республике Саха (Якутия)"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1. Формирование и продвижение конкурентоспособных туристских продуктов Якутии, основанных на эксклюзивных преимуществах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3.1.1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Общий туристский поток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тыс. чел.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инвестиционного развития и предпринимательства РС (Я)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206,5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207,9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2. Создание комфортной среды пребывания туристов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3.2.1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Количество участников программ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ед.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инвестиционного развития и предпринимательства РС (Я)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3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. Совершенствование системы управления и учета в туристской индустрии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3.3.1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Количество государственных и муниципальных специалистов администраций, ответственных за развитие туризма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чел.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инвестиционного развития и предпринимательства РС (Я)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hyperlink w:anchor="sub_104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4</w:t>
              </w:r>
            </w:hyperlink>
            <w:r w:rsidRPr="00986BCA">
              <w:rPr>
                <w:rFonts w:eastAsiaTheme="minorEastAsia"/>
              </w:rPr>
              <w:t xml:space="preserve"> "Туристко-рекреационный комплекс"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986BCA" w:rsidRDefault="00986BCA">
            <w:pPr>
              <w:pStyle w:val="a6"/>
              <w:rPr>
                <w:rFonts w:eastAsiaTheme="minorEastAsia"/>
                <w:color w:val="000000"/>
                <w:sz w:val="16"/>
                <w:szCs w:val="16"/>
              </w:rPr>
            </w:pPr>
            <w:r w:rsidRPr="00986BCA">
              <w:rPr>
                <w:rFonts w:eastAsiaTheme="minorEastAsia"/>
                <w:color w:val="000000"/>
                <w:sz w:val="16"/>
                <w:szCs w:val="16"/>
              </w:rPr>
              <w:t>ГАРАНТ:</w:t>
            </w:r>
          </w:p>
          <w:p w:rsidR="00000000" w:rsidRPr="00986BCA" w:rsidRDefault="00986BCA">
            <w:pPr>
              <w:pStyle w:val="a6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По-видимому, в тексте настоящей позиции допущена опечатка. Название названной </w:t>
            </w:r>
            <w:hyperlink w:anchor="sub_104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подпрограммы</w:t>
              </w:r>
            </w:hyperlink>
            <w:r w:rsidRPr="00986BCA">
              <w:rPr>
                <w:rFonts w:eastAsiaTheme="minorEastAsia"/>
              </w:rPr>
              <w:t xml:space="preserve"> следует читать как "Туристско-рекреационный комплекс"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Основное мероприятие 1. Формирование доступного туристко-рекреационного</w:t>
            </w:r>
            <w:hyperlink r:id="rId28" w:history="1">
              <w:r w:rsidRPr="00986BCA">
                <w:rPr>
                  <w:rStyle w:val="a4"/>
                  <w:rFonts w:eastAsiaTheme="minorEastAsia"/>
                  <w:b w:val="0"/>
                  <w:bCs w:val="0"/>
                  <w:shd w:val="clear" w:color="auto" w:fill="F0F0F0"/>
                </w:rPr>
                <w:t>#</w:t>
              </w:r>
            </w:hyperlink>
            <w:r w:rsidRPr="00986BCA">
              <w:rPr>
                <w:rFonts w:eastAsiaTheme="minorEastAsia"/>
              </w:rPr>
              <w:t xml:space="preserve"> комплекса Республики Саха (Якутия), в том числе на условиях государственно-частного партнерства для развития экологического, культурно-познавательно</w:t>
            </w:r>
            <w:r w:rsidRPr="00986BCA">
              <w:rPr>
                <w:rFonts w:eastAsiaTheme="minorEastAsia"/>
              </w:rPr>
              <w:t>го, событийного, промышленного, автотуризма (самодеятельного), детско-юношеского (в т.ч. его внедрение в образовательных учреждениях), социального туризма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4.1.1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Объем платных туристических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млн руб.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Министерство инвестиционного развития и предпринима</w:t>
            </w:r>
            <w:r w:rsidRPr="00986BCA">
              <w:rPr>
                <w:rFonts w:eastAsiaTheme="minorEastAsia"/>
              </w:rPr>
              <w:t>тельства РС (Я)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843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978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993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1007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1023</w:t>
            </w:r>
          </w:p>
        </w:tc>
      </w:tr>
    </w:tbl>
    <w:p w:rsidR="00000000" w:rsidRDefault="00986BCA"/>
    <w:p w:rsidR="00000000" w:rsidRDefault="00986BCA">
      <w:pPr>
        <w:pStyle w:val="a6"/>
        <w:rPr>
          <w:color w:val="000000"/>
          <w:sz w:val="16"/>
          <w:szCs w:val="16"/>
        </w:rPr>
      </w:pPr>
      <w:bookmarkStart w:id="46" w:name="sub_20000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986BCA">
      <w:pPr>
        <w:pStyle w:val="a7"/>
      </w:pPr>
      <w:r>
        <w:t xml:space="preserve">Приложение 2 изменено с 23 марта 2018 г. - </w:t>
      </w:r>
      <w:hyperlink r:id="rId29" w:history="1">
        <w:r>
          <w:rPr>
            <w:rStyle w:val="a4"/>
          </w:rPr>
          <w:t>Указ</w:t>
        </w:r>
      </w:hyperlink>
      <w:r>
        <w:t xml:space="preserve"> Главы Республики Саха (Якутия) от 22 марта 2018 г. N 2467</w:t>
      </w:r>
    </w:p>
    <w:p w:rsidR="00000000" w:rsidRDefault="00986BCA">
      <w:pPr>
        <w:pStyle w:val="a7"/>
      </w:pPr>
      <w:hyperlink r:id="rId30" w:history="1">
        <w:r>
          <w:rPr>
            <w:rStyle w:val="a4"/>
          </w:rPr>
          <w:t>См. предыдущую редакцию</w:t>
        </w:r>
      </w:hyperlink>
    </w:p>
    <w:p w:rsidR="00000000" w:rsidRDefault="00986BCA">
      <w:pPr>
        <w:ind w:firstLine="0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"Развитие креативной экономики и</w:t>
      </w:r>
      <w:r>
        <w:rPr>
          <w:rStyle w:val="a3"/>
        </w:rPr>
        <w:br/>
        <w:t>туризма в Республике Саха</w:t>
      </w:r>
      <w:r>
        <w:rPr>
          <w:rStyle w:val="a3"/>
        </w:rPr>
        <w:br/>
        <w:t>(Якутия) на 2018 - 2022 годы"</w:t>
      </w:r>
    </w:p>
    <w:p w:rsidR="00000000" w:rsidRDefault="00986BCA"/>
    <w:p w:rsidR="00000000" w:rsidRDefault="00986BCA">
      <w:pPr>
        <w:pStyle w:val="1"/>
      </w:pPr>
      <w:r>
        <w:t>Ресурсное обеспечение</w:t>
      </w:r>
      <w:r>
        <w:br/>
        <w:t xml:space="preserve">реализации </w:t>
      </w:r>
      <w:r>
        <w:t>государственной программы Республики Саха (Якутия) "Развитие креативной экономики и туризма на 2018 - 2022 годы"</w:t>
      </w:r>
    </w:p>
    <w:p w:rsidR="00000000" w:rsidRDefault="00986BCA"/>
    <w:p w:rsidR="00000000" w:rsidRDefault="00986BCA">
      <w:pPr>
        <w:ind w:firstLine="0"/>
        <w:jc w:val="right"/>
      </w:pPr>
      <w: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5"/>
        <w:gridCol w:w="2932"/>
        <w:gridCol w:w="3930"/>
        <w:gridCol w:w="1264"/>
        <w:gridCol w:w="1273"/>
        <w:gridCol w:w="1264"/>
        <w:gridCol w:w="1264"/>
        <w:gridCol w:w="1274"/>
      </w:tblGrid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Статус структурного элемента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Источник финансирова</w:t>
            </w:r>
            <w:r w:rsidRPr="00986BCA">
              <w:rPr>
                <w:rFonts w:eastAsiaTheme="minorEastAsia"/>
              </w:rPr>
              <w:t>ния</w:t>
            </w:r>
          </w:p>
        </w:tc>
        <w:tc>
          <w:tcPr>
            <w:tcW w:w="6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Объемы бюджетных ассигнований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2022 год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Государственная программа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Развитие креативной экономики и туризма на 2018 - 2022 годы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271714,23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16594,23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16594,23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17748,82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18437,57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Государственный бюджет </w:t>
            </w:r>
            <w:r w:rsidRPr="00986BCA">
              <w:rPr>
                <w:rFonts w:eastAsiaTheme="minorEastAsia"/>
              </w:rPr>
              <w:lastRenderedPageBreak/>
              <w:t>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lastRenderedPageBreak/>
              <w:t>15644,23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15644,23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15644,23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16798,82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17 </w:t>
            </w:r>
            <w:r w:rsidRPr="00986BCA">
              <w:rPr>
                <w:rFonts w:eastAsiaTheme="minorEastAsia"/>
              </w:rPr>
              <w:lastRenderedPageBreak/>
              <w:t>487,57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11486,00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11486,00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11486,00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11979,90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12 471,07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- соисполнитель (Минсвязи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4818,92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5 016,50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255695,00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575,00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575,00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255695,00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575,00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575,00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hyperlink w:anchor="sub_101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1</w:t>
              </w:r>
            </w:hyperlink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Подпрограмма "Развитие отрасли информационных технологий в Республике Саха (Якутия)"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4818,92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5 016,50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Государственный бюджет 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4818,92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5 016,50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4818,92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5 016,50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1.1.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Развитие механизмов поддержки ИТ-отрасли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4818,92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5 016,50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Государственный бюджет 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4818,92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5 016,50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4158,23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4818,92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5 016,50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1.2.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 xml:space="preserve">Создание информационной среды для продвижения региональных </w:t>
            </w:r>
            <w:r w:rsidRPr="00986BCA">
              <w:rPr>
                <w:rFonts w:eastAsiaTheme="minorEastAsia"/>
              </w:rPr>
              <w:lastRenderedPageBreak/>
              <w:t>туристических продуктов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lastRenderedPageBreak/>
              <w:t>Всего</w:t>
            </w:r>
            <w:r w:rsidRPr="00986BCA">
              <w:rPr>
                <w:rFonts w:eastAsiaTheme="minorEastAsia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Государственный бюджет 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hyperlink w:anchor="sub_102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2</w:t>
              </w:r>
            </w:hyperlink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Подпрограмма "Защита и продвижение имиджевой продукции Республики Саха (Якутия)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Государственный бюджет 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"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2.1.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Механизмы защиты и продвижения имиджевой продукции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Государственный бюджет 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hyperlink w:anchor="sub_103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3</w:t>
              </w:r>
            </w:hyperlink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Подпрограмма "Развитие туристской индустрии в Республике Саха (Якутия)"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5415,00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5628,81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Государственный бюджет 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5215,00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5428,81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5215,00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5428,81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200,00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3.1.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Формирование и продвижение конкурентоспособных туристских продуктов Якутии, основанных на эксклюзивных преимуществах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5415,00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5628,81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Государственный бюджет 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5215,00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5428,81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5215,00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5428,81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200,00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3.2.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Создание комфортной среды пребывания туристов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Государственный бюджет 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3.3.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Совершенствование системы управления и учета в туристской индустрии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Государственный бюджет 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hyperlink w:anchor="sub_1040" w:history="1">
              <w:r w:rsidRPr="00986BCA">
                <w:rPr>
                  <w:rStyle w:val="a4"/>
                  <w:rFonts w:eastAsiaTheme="minorEastAsia"/>
                  <w:b w:val="0"/>
                  <w:bCs w:val="0"/>
                </w:rPr>
                <w:t>Подпрограмма N 4</w:t>
              </w:r>
            </w:hyperlink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Подпрограмма "Туристско-рекреационный комплекс"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262356,00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7236,00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7236,00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7514,90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7792,26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Государственный бюджет 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6764,90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7042,26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6764,90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7042,26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-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255495,00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Основное мероприятие 4.1.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Формирование доступного туристско-рекреационного комплекса Республики Саха (Якутия), в том числе на условиях государственно-частного партнерства для развития экологического, культурно-познаватель</w:t>
            </w:r>
            <w:r w:rsidRPr="00986BCA">
              <w:rPr>
                <w:rFonts w:eastAsiaTheme="minorEastAsia"/>
              </w:rPr>
              <w:lastRenderedPageBreak/>
              <w:t>ного, событийного, промышленного, автотуризма (самодеятельног</w:t>
            </w:r>
            <w:r w:rsidRPr="00986BCA">
              <w:rPr>
                <w:rFonts w:eastAsiaTheme="minorEastAsia"/>
              </w:rPr>
              <w:t>о), детско-юношеского (в т.ч. его внедрение в образовательных учреждениях), социального туризма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Style w:val="a3"/>
                <w:rFonts w:eastAsiaTheme="minorEastAsia"/>
              </w:rPr>
              <w:lastRenderedPageBreak/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262356,00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7236,00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7236,00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7514,90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7792,26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Государственный бюджет Республики Саха (Якутия)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6764,90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7042,26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ГРБС (Мининвестпред РС (Я))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6486,00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6764,90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7042,26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</w:tr>
      <w:tr w:rsidR="00000000" w:rsidRPr="00986BCA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986BCA" w:rsidRDefault="00986BCA">
            <w:pPr>
              <w:pStyle w:val="a8"/>
              <w:rPr>
                <w:rFonts w:eastAsiaTheme="minorEastAsi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9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255495,00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986BCA" w:rsidRDefault="00986BCA">
            <w:pPr>
              <w:pStyle w:val="a8"/>
              <w:jc w:val="center"/>
              <w:rPr>
                <w:rFonts w:eastAsiaTheme="minorEastAsia"/>
              </w:rPr>
            </w:pPr>
            <w:r w:rsidRPr="00986BCA">
              <w:rPr>
                <w:rFonts w:eastAsiaTheme="minorEastAsia"/>
              </w:rPr>
              <w:t>375,00</w:t>
            </w:r>
          </w:p>
        </w:tc>
      </w:tr>
    </w:tbl>
    <w:p w:rsidR="00000000" w:rsidRDefault="00986BCA"/>
    <w:p w:rsidR="00000000" w:rsidRDefault="00986BCA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86BCA">
      <w:pPr>
        <w:ind w:firstLine="0"/>
        <w:jc w:val="right"/>
      </w:pPr>
      <w:bookmarkStart w:id="47" w:name="sub_30000"/>
      <w:r>
        <w:rPr>
          <w:rStyle w:val="a3"/>
        </w:rPr>
        <w:lastRenderedPageBreak/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"Развитие креативной экономики и</w:t>
      </w:r>
      <w:r>
        <w:rPr>
          <w:rStyle w:val="a3"/>
        </w:rPr>
        <w:br/>
        <w:t>туризма в Республике Саха</w:t>
      </w:r>
      <w:r>
        <w:rPr>
          <w:rStyle w:val="a3"/>
        </w:rPr>
        <w:br/>
        <w:t>(Якутия) на 2018 - 2022 годы"</w:t>
      </w:r>
    </w:p>
    <w:bookmarkEnd w:id="47"/>
    <w:p w:rsidR="00000000" w:rsidRDefault="00986BCA"/>
    <w:p w:rsidR="00000000" w:rsidRDefault="00986BCA">
      <w:pPr>
        <w:pStyle w:val="1"/>
      </w:pPr>
      <w:r>
        <w:t>Условия предоставления и методика</w:t>
      </w:r>
      <w:r>
        <w:br/>
        <w:t>расчета межбюджетных субсидий</w:t>
      </w:r>
    </w:p>
    <w:p w:rsidR="00000000" w:rsidRDefault="00986BCA"/>
    <w:p w:rsidR="00000000" w:rsidRDefault="00986BCA">
      <w:pPr>
        <w:pStyle w:val="a6"/>
        <w:rPr>
          <w:color w:val="000000"/>
          <w:sz w:val="16"/>
          <w:szCs w:val="16"/>
        </w:rPr>
      </w:pPr>
      <w:bookmarkStart w:id="48" w:name="sub_20016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48"/>
    <w:p w:rsidR="00000000" w:rsidRDefault="00986BCA">
      <w:pPr>
        <w:pStyle w:val="a7"/>
      </w:pPr>
      <w:r>
        <w:t xml:space="preserve">Пункт 1 изменен с 23 марта 2018 г. - </w:t>
      </w:r>
      <w:hyperlink r:id="rId31" w:history="1">
        <w:r>
          <w:rPr>
            <w:rStyle w:val="a4"/>
          </w:rPr>
          <w:t>Указ</w:t>
        </w:r>
      </w:hyperlink>
      <w:r>
        <w:t xml:space="preserve"> Главы Республики Саха (Якутия) от 22 марта 2018 г. N 2467</w:t>
      </w:r>
    </w:p>
    <w:p w:rsidR="00000000" w:rsidRDefault="00986BCA">
      <w:pPr>
        <w:pStyle w:val="a7"/>
      </w:pPr>
      <w:hyperlink r:id="rId32" w:history="1">
        <w:r>
          <w:rPr>
            <w:rStyle w:val="a4"/>
          </w:rPr>
          <w:t>См. предыдущую редакцию</w:t>
        </w:r>
      </w:hyperlink>
    </w:p>
    <w:p w:rsidR="00000000" w:rsidRDefault="00986BCA">
      <w:r>
        <w:t>1. Условием предоставления субсиди</w:t>
      </w:r>
      <w:r>
        <w:t>й муниципальным образованиям из государственного бюджета Республики Саха (Якутия) является софинансирование расходных обязательств по созданию туристических комплексов на территории перспективных туристско-рекреационных кластеров Республики Саха (Якутия):</w:t>
      </w:r>
    </w:p>
    <w:p w:rsidR="00000000" w:rsidRDefault="00986BCA">
      <w:bookmarkStart w:id="49" w:name="sub_1013"/>
      <w:r>
        <w:t>уровень софинансирования расходных обязательств муниципальных образований из государственного бюджета Республики Саха (Якутия) не может быть установлен выше предельного уровня софинансирования расходных обязательств муниципальных образований из гос</w:t>
      </w:r>
      <w:r>
        <w:t>ударственного бюджета Республики Саха (Якутия), утверждаемого по каждому муниципальному образованию Правительством Республики Саха (Якутия);</w:t>
      </w:r>
    </w:p>
    <w:bookmarkEnd w:id="49"/>
    <w:p w:rsidR="00000000" w:rsidRDefault="00986BCA">
      <w:r>
        <w:t>наличие в местных бюджетах бюджетных ассигнований на исполнение соответствующего расходного обязательства м</w:t>
      </w:r>
      <w:r>
        <w:t>униципального образования. При этом нижний уровень финансового обеспечения соответствующего расходного обязательства муниципального образования за счет средств местных бюджетов рассчитывается исходя из доли дотаций из других бюджетов бюджетной системы Росс</w:t>
      </w:r>
      <w:r>
        <w:t>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</w:t>
      </w:r>
      <w:r>
        <w:t>ений, в течение двух из трех последних отчетных финансовых лет:</w:t>
      </w:r>
    </w:p>
    <w:p w:rsidR="00000000" w:rsidRDefault="00986BCA">
      <w:r>
        <w:t>свыше 50% - уровень финансового обеспечения расходного обязательства не ниже 2%;</w:t>
      </w:r>
    </w:p>
    <w:p w:rsidR="00000000" w:rsidRDefault="00986BCA">
      <w:r>
        <w:t>от 20% до 50% - уровень финансового обеспечения расходного обязательства не ниже 5%;</w:t>
      </w:r>
    </w:p>
    <w:p w:rsidR="00000000" w:rsidRDefault="00986BCA">
      <w:r>
        <w:t>от 5% до 20% - уровень фин</w:t>
      </w:r>
      <w:r>
        <w:t>ансового обеспечения расходного обязательства не ниже 7%;</w:t>
      </w:r>
    </w:p>
    <w:p w:rsidR="00000000" w:rsidRDefault="00986BCA">
      <w:r>
        <w:t>до 5% - уровень финансового обеспечения расходного обязательства не ниже 10%;</w:t>
      </w:r>
    </w:p>
    <w:p w:rsidR="00000000" w:rsidRDefault="00986BCA">
      <w:r>
        <w:t xml:space="preserve">уровень софинансирования проекта за счет привлеченных внебюджетных средств на реализацию проекта составляет не менее 10 </w:t>
      </w:r>
      <w:r>
        <w:t>процентов.</w:t>
      </w:r>
    </w:p>
    <w:p w:rsidR="00000000" w:rsidRDefault="00986BCA">
      <w:bookmarkStart w:id="50" w:name="sub_20017"/>
      <w:r>
        <w:t>2. Методика распределения субсидий из государственного бюджета Республики Саха (Якутия) между муниципальными образованиями рассчитывается по следующей формуле:</w:t>
      </w:r>
    </w:p>
    <w:bookmarkEnd w:id="50"/>
    <w:p w:rsidR="00000000" w:rsidRDefault="00986BCA"/>
    <w:p w:rsidR="00000000" w:rsidRDefault="00986BCA">
      <w:r>
        <w:t>Sмо = L x Sp / сумма всех Sp по принятым заявкам, где</w:t>
      </w:r>
    </w:p>
    <w:p w:rsidR="00000000" w:rsidRDefault="00986BCA"/>
    <w:p w:rsidR="00000000" w:rsidRDefault="00986BCA">
      <w:r>
        <w:lastRenderedPageBreak/>
        <w:t>Sмо - разме</w:t>
      </w:r>
      <w:r>
        <w:t>р субсидии, выделяемой муниципальному образованию за счет средств государственного бюджета Республики Саха (Якутия) на соответствующий финансовый год;</w:t>
      </w:r>
    </w:p>
    <w:p w:rsidR="00000000" w:rsidRDefault="00986BCA">
      <w:r>
        <w:t>L - лимит средств, предусмотренных государственным бюджетом Республики Саха (Якутия);</w:t>
      </w:r>
    </w:p>
    <w:p w:rsidR="00000000" w:rsidRDefault="00986BCA">
      <w:r>
        <w:t>Sp - максимальный р</w:t>
      </w:r>
      <w:r>
        <w:t>азмер субсидии, предоставляемой муниципальному образованию за счет средств государственного бюджета Республики Саха (Якутия), рассчитывается по формуле:</w:t>
      </w:r>
    </w:p>
    <w:p w:rsidR="00000000" w:rsidRDefault="00986BCA"/>
    <w:p w:rsidR="00000000" w:rsidRDefault="00986BCA">
      <w:r>
        <w:t>Sp = Sz x P, где</w:t>
      </w:r>
    </w:p>
    <w:p w:rsidR="00000000" w:rsidRDefault="00986BCA"/>
    <w:p w:rsidR="00000000" w:rsidRDefault="00986BCA">
      <w:r>
        <w:t>Sz - размер запрашиваемой муниципальным образованием субсидии;</w:t>
      </w:r>
    </w:p>
    <w:p w:rsidR="00000000" w:rsidRDefault="00986BCA">
      <w:r>
        <w:t>P - общий вес в %</w:t>
      </w:r>
      <w:hyperlink w:anchor="sub_1111" w:history="1">
        <w:r>
          <w:rPr>
            <w:rStyle w:val="a4"/>
          </w:rPr>
          <w:t>*</w:t>
        </w:r>
      </w:hyperlink>
      <w:r>
        <w:t>;</w:t>
      </w:r>
    </w:p>
    <w:p w:rsidR="00000000" w:rsidRDefault="00986BCA"/>
    <w:p w:rsidR="00000000" w:rsidRDefault="00986BCA">
      <w:r>
        <w:t>P = 100% x B/65, где</w:t>
      </w:r>
    </w:p>
    <w:p w:rsidR="00000000" w:rsidRDefault="00986BCA"/>
    <w:p w:rsidR="00000000" w:rsidRDefault="00986BCA">
      <w:r>
        <w:t>B - общее количество набранных баллов</w:t>
      </w:r>
    </w:p>
    <w:p w:rsidR="00000000" w:rsidRDefault="00986BCA"/>
    <w:p w:rsidR="00000000" w:rsidRDefault="00986BCA">
      <w:bookmarkStart w:id="51" w:name="sub_1111"/>
      <w:r>
        <w:t>* P (общий вес в %) рассчитывается по балльной системе</w:t>
      </w:r>
    </w:p>
    <w:bookmarkEnd w:id="51"/>
    <w:p w:rsidR="00986BCA" w:rsidRDefault="00986BCA"/>
    <w:sectPr w:rsidR="00986BCA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0BA"/>
    <w:rsid w:val="002E20BA"/>
    <w:rsid w:val="0098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072035.0" TargetMode="External"/><Relationship Id="rId13" Type="http://schemas.openxmlformats.org/officeDocument/2006/relationships/hyperlink" Target="garantF1://3000000.0" TargetMode="External"/><Relationship Id="rId18" Type="http://schemas.openxmlformats.org/officeDocument/2006/relationships/hyperlink" Target="garantF1://26615224.1000" TargetMode="External"/><Relationship Id="rId26" Type="http://schemas.openxmlformats.org/officeDocument/2006/relationships/hyperlink" Target="garantF1://3000000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55071986.1000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48067312.0" TargetMode="External"/><Relationship Id="rId12" Type="http://schemas.openxmlformats.org/officeDocument/2006/relationships/hyperlink" Target="garantF1://26667873.1040" TargetMode="External"/><Relationship Id="rId17" Type="http://schemas.openxmlformats.org/officeDocument/2006/relationships/hyperlink" Target="garantF1://70117654.0" TargetMode="External"/><Relationship Id="rId25" Type="http://schemas.openxmlformats.org/officeDocument/2006/relationships/hyperlink" Target="garantF1://26667873.12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117654.2020" TargetMode="External"/><Relationship Id="rId20" Type="http://schemas.openxmlformats.org/officeDocument/2006/relationships/hyperlink" Target="garantF1://3000000.0" TargetMode="External"/><Relationship Id="rId29" Type="http://schemas.openxmlformats.org/officeDocument/2006/relationships/hyperlink" Target="garantF1://48075452.1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8051538.0" TargetMode="External"/><Relationship Id="rId11" Type="http://schemas.openxmlformats.org/officeDocument/2006/relationships/hyperlink" Target="garantF1://48075452.12" TargetMode="External"/><Relationship Id="rId24" Type="http://schemas.openxmlformats.org/officeDocument/2006/relationships/hyperlink" Target="garantF1://48075452.13" TargetMode="External"/><Relationship Id="rId32" Type="http://schemas.openxmlformats.org/officeDocument/2006/relationships/hyperlink" Target="garantF1://26667873.20016" TargetMode="External"/><Relationship Id="rId5" Type="http://schemas.openxmlformats.org/officeDocument/2006/relationships/hyperlink" Target="garantF1://48072034.0" TargetMode="External"/><Relationship Id="rId15" Type="http://schemas.openxmlformats.org/officeDocument/2006/relationships/hyperlink" Target="garantF1://3000000.0" TargetMode="External"/><Relationship Id="rId23" Type="http://schemas.openxmlformats.org/officeDocument/2006/relationships/hyperlink" Target="garantF1://55071986.1000" TargetMode="External"/><Relationship Id="rId28" Type="http://schemas.openxmlformats.org/officeDocument/2006/relationships/hyperlink" Target="garantF1://3000000.0" TargetMode="External"/><Relationship Id="rId10" Type="http://schemas.openxmlformats.org/officeDocument/2006/relationships/hyperlink" Target="garantF1://26667873.10100" TargetMode="External"/><Relationship Id="rId19" Type="http://schemas.openxmlformats.org/officeDocument/2006/relationships/hyperlink" Target="garantF1://26627471.1000" TargetMode="External"/><Relationship Id="rId31" Type="http://schemas.openxmlformats.org/officeDocument/2006/relationships/hyperlink" Target="garantF1://48075452.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8075452.11" TargetMode="External"/><Relationship Id="rId14" Type="http://schemas.openxmlformats.org/officeDocument/2006/relationships/hyperlink" Target="garantF1://12084522.21" TargetMode="External"/><Relationship Id="rId22" Type="http://schemas.openxmlformats.org/officeDocument/2006/relationships/hyperlink" Target="garantF1://55071986.1000" TargetMode="External"/><Relationship Id="rId27" Type="http://schemas.openxmlformats.org/officeDocument/2006/relationships/hyperlink" Target="garantF1://3000000.0" TargetMode="External"/><Relationship Id="rId30" Type="http://schemas.openxmlformats.org/officeDocument/2006/relationships/hyperlink" Target="garantF1://26667873.2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11533</Words>
  <Characters>65741</Characters>
  <Application>Microsoft Office Word</Application>
  <DocSecurity>0</DocSecurity>
  <Lines>547</Lines>
  <Paragraphs>154</Paragraphs>
  <ScaleCrop>false</ScaleCrop>
  <Company>НПП "Гарант-Сервис"</Company>
  <LinksUpToDate>false</LinksUpToDate>
  <CharactersWithSpaces>77120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LV</cp:lastModifiedBy>
  <cp:revision>2</cp:revision>
  <dcterms:created xsi:type="dcterms:W3CDTF">2018-05-23T23:25:00Z</dcterms:created>
  <dcterms:modified xsi:type="dcterms:W3CDTF">2018-05-23T23:25:00Z</dcterms:modified>
</cp:coreProperties>
</file>