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bookmarkStart w:id="0" w:name="_GoBack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Агентство стратегических инициатив проводит первый всероссийский форум, направленный на развитие профессиональной среды наставничества «Наставник - 2018». Форум пройдет с 13 по 15 февраля 2018 года на площадке 75 павильона ВДНХ и объединит несколько тысяч человек, вовлеченных в практики наставничества на своих предприятиях: действующих наставников и представителей HR-департаментов крупнейших государственных и бизнес-корпораций, органов федеральной и региональной власти, сотрудников некоммерческих организаций и образовательных учреждений. В феврале-марте 2018 года окружные форумы «Наставник» пройдут в 7 федеральных округах.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Для свободного посещения мероприятия форума открыты </w:t>
      </w: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13 и 15 февраля 2018 года.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Arial" w:eastAsia="Times New Roman" w:hAnsi="Arial" w:cs="Arial"/>
          <w:color w:val="565656"/>
          <w:sz w:val="26"/>
          <w:szCs w:val="26"/>
          <w:lang w:eastAsia="ru-RU"/>
        </w:rPr>
        <w:t> 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Деловая программа форума «Наставник», Москва, ВДНХ, павильон 75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13 февраля</w:t>
      </w:r>
    </w:p>
    <w:p w:rsidR="00B70595" w:rsidRPr="00B70595" w:rsidRDefault="00B70595" w:rsidP="00B7059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Торжественное открытие форума</w:t>
      </w:r>
    </w:p>
    <w:p w:rsidR="00B70595" w:rsidRPr="00B70595" w:rsidRDefault="00B70595" w:rsidP="00B7059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Панельные дискуссии: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Как создать среду для развития движения наставников?  Какие необходимы меры государственной поддержки наставничества?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как форма социально-педагогического сопровождения: кто, для кого и как?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Нужно ли движению наставников регулирование?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Кто такой эффективный наставник? Программы развития наставников</w:t>
      </w:r>
    </w:p>
    <w:p w:rsidR="00B70595" w:rsidRPr="00B70595" w:rsidRDefault="00B70595" w:rsidP="00B7059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Обмен лучшими практиками наставничества: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молодых специалистов: успехи и препятствия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Административные барьеры и актуальные изменения в рамках программ стажировок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для детей и молодежи и их семей в социальной сфере: успешные модели и основные риски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в профориентации: профессия "от первого лица"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Модель компетенций наставника кружка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Построение траектории наставляемых: от массовых кружков к конкурсам и самостоятельным проектам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в предпринимательстве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- важный элемент корпоративной культуры и эффективный инструмент развития человеческого капитала компании (эффективный HR инструмент)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Модели наставничества в дуальном образовании: проблемы и решения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Подходы к наставничеству под новые профессии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Поддержка наставников: методическая поддержка и обучение кураторов пар, наставников и подопечных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для молодежи с ограниченными возможностями здоровья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Представление моделей наставничества в кружках (проектные школы, конкурсы, ЦМИТ, исследовательские кружки и т.д.)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lastRenderedPageBreak/>
        <w:t>Повышение квалификации и сертификация наставников кружков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Авторитет наставника. Сколько лет должно быть наставнику в цифровой экономике?</w:t>
      </w:r>
    </w:p>
    <w:p w:rsidR="00B70595" w:rsidRPr="00B70595" w:rsidRDefault="00B70595" w:rsidP="00B70595">
      <w:pPr>
        <w:numPr>
          <w:ilvl w:val="1"/>
          <w:numId w:val="1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Международный обмен корпоративными практиками наставничества и его значение в развитии лидерского капитала</w:t>
      </w:r>
    </w:p>
    <w:p w:rsidR="00B70595" w:rsidRPr="00B70595" w:rsidRDefault="00B70595" w:rsidP="00B7059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Открытие </w:t>
      </w:r>
      <w:proofErr w:type="spellStart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хакатона</w:t>
      </w:r>
      <w:proofErr w:type="spellEnd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 по IT-решениям для наставничества </w:t>
      </w:r>
      <w:hyperlink r:id="rId5" w:history="1">
        <w:proofErr w:type="spellStart"/>
        <w:r w:rsidRPr="00B70595">
          <w:rPr>
            <w:rFonts w:ascii="Calibri" w:eastAsia="Times New Roman" w:hAnsi="Calibri" w:cs="Arial"/>
            <w:color w:val="1DABBC"/>
            <w:sz w:val="24"/>
            <w:szCs w:val="24"/>
            <w:lang w:val="en-US" w:eastAsia="ru-RU"/>
          </w:rPr>
          <w:t>MentorHack</w:t>
        </w:r>
        <w:proofErr w:type="spellEnd"/>
      </w:hyperlink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. </w:t>
      </w:r>
      <w:proofErr w:type="spellStart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Хакатон</w:t>
      </w:r>
      <w:proofErr w:type="spellEnd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 пройдет с </w:t>
      </w: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13 по 15 февраля</w:t>
      </w: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 2017 года.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14 февраля (вход по приглашениям)</w:t>
      </w:r>
    </w:p>
    <w:p w:rsidR="00B70595" w:rsidRPr="00B70595" w:rsidRDefault="00B70595" w:rsidP="00B7059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Панельные дискуссии: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и подготовка чемпионов федерального и международного уровней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Наставничество и «серебряный возраст»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Практики корпоративного </w:t>
      </w:r>
      <w:proofErr w:type="spellStart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волонтерства</w:t>
      </w:r>
      <w:proofErr w:type="spellEnd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 в наставничестве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Ценности и цели наставника в кружке. Наставник для человека, команды или продукта?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Лидер 2.0. Наставничество как современный, эффективный стиль управления</w:t>
      </w:r>
    </w:p>
    <w:p w:rsidR="00B70595" w:rsidRPr="00B70595" w:rsidRDefault="00B70595" w:rsidP="00B70595">
      <w:pPr>
        <w:numPr>
          <w:ilvl w:val="1"/>
          <w:numId w:val="2"/>
        </w:num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Чиновник 2.0 - Наставничество на госслужбе как эффективный способ формирования государственного служащего нового поколения</w:t>
      </w:r>
    </w:p>
    <w:p w:rsidR="00B70595" w:rsidRPr="00B70595" w:rsidRDefault="00B70595" w:rsidP="00B70595">
      <w:pPr>
        <w:numPr>
          <w:ilvl w:val="0"/>
          <w:numId w:val="2"/>
        </w:numPr>
        <w:shd w:val="clear" w:color="auto" w:fill="FFFFFF"/>
        <w:spacing w:line="240" w:lineRule="auto"/>
        <w:ind w:left="1440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Торжественная церемония награждения победителей конкурса лучших практик наставничества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b/>
          <w:bCs/>
          <w:color w:val="565656"/>
          <w:sz w:val="24"/>
          <w:szCs w:val="24"/>
          <w:lang w:eastAsia="ru-RU"/>
        </w:rPr>
        <w:t>15 февраля</w:t>
      </w: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 </w:t>
      </w:r>
    </w:p>
    <w:p w:rsidR="00B70595" w:rsidRPr="00B70595" w:rsidRDefault="00B70595" w:rsidP="00B705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ru-RU"/>
        </w:rPr>
      </w:pPr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 xml:space="preserve">Завершение </w:t>
      </w:r>
      <w:proofErr w:type="spellStart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хакатона</w:t>
      </w:r>
      <w:proofErr w:type="spellEnd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 </w:t>
      </w:r>
      <w:proofErr w:type="spellStart"/>
      <w:r w:rsidRPr="00B70595">
        <w:rPr>
          <w:rFonts w:ascii="Calibri" w:eastAsia="Times New Roman" w:hAnsi="Calibri" w:cs="Arial"/>
          <w:color w:val="565656"/>
          <w:sz w:val="24"/>
          <w:szCs w:val="24"/>
          <w:lang w:val="en-US" w:eastAsia="ru-RU"/>
        </w:rPr>
        <w:t>MentorHack</w:t>
      </w:r>
      <w:proofErr w:type="spellEnd"/>
      <w:r w:rsidRPr="00B70595">
        <w:rPr>
          <w:rFonts w:ascii="Calibri" w:eastAsia="Times New Roman" w:hAnsi="Calibri" w:cs="Arial"/>
          <w:color w:val="565656"/>
          <w:sz w:val="24"/>
          <w:szCs w:val="24"/>
          <w:lang w:eastAsia="ru-RU"/>
        </w:rPr>
        <w:t>. Церемония награждения победителей.</w:t>
      </w:r>
    </w:p>
    <w:bookmarkEnd w:id="0"/>
    <w:p w:rsidR="00871E2C" w:rsidRDefault="00871E2C" w:rsidP="00B70595">
      <w:pPr>
        <w:jc w:val="both"/>
      </w:pPr>
    </w:p>
    <w:sectPr w:rsidR="0087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94D"/>
    <w:multiLevelType w:val="multilevel"/>
    <w:tmpl w:val="969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3B82"/>
    <w:multiLevelType w:val="multilevel"/>
    <w:tmpl w:val="770C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95"/>
    <w:rsid w:val="00871E2C"/>
    <w:rsid w:val="00B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D51B-33BF-4259-BCDD-9A297D6C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595"/>
    <w:rPr>
      <w:b/>
      <w:bCs/>
    </w:rPr>
  </w:style>
  <w:style w:type="character" w:styleId="a5">
    <w:name w:val="Hyperlink"/>
    <w:basedOn w:val="a0"/>
    <w:uiPriority w:val="99"/>
    <w:semiHidden/>
    <w:unhideWhenUsed/>
    <w:rsid w:val="00B7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ntorhac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Нюргуяна  Александровна</dc:creator>
  <cp:keywords/>
  <dc:description/>
  <cp:lastModifiedBy>Мартынова Нюргуяна  Александровна</cp:lastModifiedBy>
  <cp:revision>1</cp:revision>
  <dcterms:created xsi:type="dcterms:W3CDTF">2018-01-17T01:34:00Z</dcterms:created>
  <dcterms:modified xsi:type="dcterms:W3CDTF">2018-01-17T01:34:00Z</dcterms:modified>
</cp:coreProperties>
</file>